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75" w:rsidRPr="00873BBC" w:rsidRDefault="00870875" w:rsidP="00870875">
      <w:pPr>
        <w:spacing w:line="480" w:lineRule="auto"/>
        <w:rPr>
          <w:rFonts w:ascii="Garamond" w:hAnsi="Garamond"/>
          <w:b/>
          <w:sz w:val="36"/>
          <w:szCs w:val="36"/>
        </w:rPr>
      </w:pPr>
      <w:bookmarkStart w:id="0" w:name="_GoBack"/>
      <w:bookmarkEnd w:id="0"/>
      <w:r w:rsidRPr="00873BBC">
        <w:rPr>
          <w:rFonts w:ascii="Garamond" w:hAnsi="Garamond"/>
          <w:b/>
          <w:sz w:val="36"/>
          <w:szCs w:val="36"/>
        </w:rPr>
        <w:t>Rank-order tourname</w:t>
      </w:r>
      <w:r w:rsidR="00873BBC">
        <w:rPr>
          <w:rFonts w:ascii="Garamond" w:hAnsi="Garamond"/>
          <w:b/>
          <w:sz w:val="36"/>
          <w:szCs w:val="36"/>
        </w:rPr>
        <w:t xml:space="preserve">nts, probability of winning and investing in talent: </w:t>
      </w:r>
      <w:r w:rsidRPr="00873BBC">
        <w:rPr>
          <w:rFonts w:ascii="Garamond" w:hAnsi="Garamond"/>
          <w:b/>
          <w:sz w:val="36"/>
          <w:szCs w:val="36"/>
        </w:rPr>
        <w:t>Evidence from Champions League qualifying rules</w:t>
      </w:r>
    </w:p>
    <w:p w:rsidR="00870875" w:rsidRDefault="00870875" w:rsidP="00FF194D">
      <w:pPr>
        <w:spacing w:line="480" w:lineRule="auto"/>
        <w:jc w:val="center"/>
        <w:rPr>
          <w:rFonts w:ascii="Garamond" w:hAnsi="Garamond"/>
          <w:b/>
          <w:sz w:val="24"/>
          <w:szCs w:val="24"/>
        </w:rPr>
      </w:pPr>
    </w:p>
    <w:p w:rsidR="00870875" w:rsidRDefault="00870875" w:rsidP="00FF194D">
      <w:pPr>
        <w:spacing w:line="480" w:lineRule="auto"/>
        <w:jc w:val="center"/>
        <w:rPr>
          <w:rFonts w:ascii="Garamond" w:hAnsi="Garamond"/>
          <w:b/>
          <w:sz w:val="24"/>
          <w:szCs w:val="24"/>
        </w:rPr>
      </w:pPr>
      <w:r>
        <w:rPr>
          <w:rFonts w:ascii="Garamond" w:hAnsi="Garamond"/>
          <w:b/>
          <w:sz w:val="24"/>
          <w:szCs w:val="24"/>
        </w:rPr>
        <w:t>Colin Green (Lancaster University)</w:t>
      </w:r>
    </w:p>
    <w:p w:rsidR="00870875" w:rsidRDefault="00870875" w:rsidP="00FF194D">
      <w:pPr>
        <w:spacing w:line="480" w:lineRule="auto"/>
        <w:jc w:val="center"/>
        <w:rPr>
          <w:rFonts w:ascii="Garamond" w:hAnsi="Garamond"/>
          <w:b/>
          <w:sz w:val="24"/>
          <w:szCs w:val="24"/>
        </w:rPr>
      </w:pPr>
      <w:r>
        <w:rPr>
          <w:rFonts w:ascii="Garamond" w:hAnsi="Garamond"/>
          <w:b/>
          <w:sz w:val="24"/>
          <w:szCs w:val="24"/>
        </w:rPr>
        <w:t>Fernando Lozano (Pomona College &amp; IZA)</w:t>
      </w:r>
    </w:p>
    <w:p w:rsidR="00870875" w:rsidRDefault="00870875" w:rsidP="00FF194D">
      <w:pPr>
        <w:spacing w:line="480" w:lineRule="auto"/>
        <w:jc w:val="center"/>
        <w:rPr>
          <w:rFonts w:ascii="Garamond" w:hAnsi="Garamond"/>
          <w:b/>
          <w:sz w:val="24"/>
          <w:szCs w:val="24"/>
        </w:rPr>
      </w:pPr>
      <w:r>
        <w:rPr>
          <w:rFonts w:ascii="Garamond" w:hAnsi="Garamond"/>
          <w:b/>
          <w:sz w:val="24"/>
          <w:szCs w:val="24"/>
        </w:rPr>
        <w:t>Rob Simmons (Lancaster University)</w:t>
      </w:r>
    </w:p>
    <w:p w:rsidR="00870875" w:rsidRDefault="00870875">
      <w:pPr>
        <w:rPr>
          <w:rFonts w:ascii="Garamond" w:hAnsi="Garamond"/>
          <w:b/>
          <w:sz w:val="24"/>
          <w:szCs w:val="24"/>
        </w:rPr>
      </w:pPr>
    </w:p>
    <w:p w:rsidR="00870875" w:rsidRDefault="00870875" w:rsidP="008A6B07">
      <w:pPr>
        <w:spacing w:line="240" w:lineRule="auto"/>
        <w:rPr>
          <w:rFonts w:ascii="Garamond" w:hAnsi="Garamond"/>
          <w:b/>
          <w:sz w:val="24"/>
          <w:szCs w:val="24"/>
        </w:rPr>
      </w:pPr>
      <w:r>
        <w:rPr>
          <w:rFonts w:ascii="Garamond" w:hAnsi="Garamond"/>
          <w:b/>
          <w:sz w:val="24"/>
          <w:szCs w:val="24"/>
        </w:rPr>
        <w:t>Abstract</w:t>
      </w:r>
    </w:p>
    <w:p w:rsidR="0038784F" w:rsidRDefault="0038784F" w:rsidP="008A6B07">
      <w:pPr>
        <w:spacing w:line="240" w:lineRule="auto"/>
        <w:rPr>
          <w:rFonts w:ascii="Garamond" w:hAnsi="Garamond"/>
          <w:b/>
          <w:sz w:val="24"/>
          <w:szCs w:val="24"/>
        </w:rPr>
      </w:pPr>
    </w:p>
    <w:p w:rsidR="008A6B07" w:rsidRDefault="00333AB2" w:rsidP="008A6B07">
      <w:pPr>
        <w:spacing w:line="240" w:lineRule="auto"/>
        <w:ind w:firstLine="720"/>
        <w:jc w:val="both"/>
        <w:rPr>
          <w:rFonts w:ascii="Garamond" w:hAnsi="Garamond"/>
          <w:sz w:val="24"/>
          <w:szCs w:val="24"/>
        </w:rPr>
      </w:pPr>
      <w:r>
        <w:rPr>
          <w:rFonts w:ascii="Garamond" w:hAnsi="Garamond"/>
          <w:sz w:val="24"/>
          <w:szCs w:val="24"/>
        </w:rPr>
        <w:t xml:space="preserve">Tournaments are hard to test empirically because it is difficult to observe both a principal’s rewards and agent’s effort. A sector where both can be observed is the sports industry and it is unsurprising that tests of tournament theory have covered golf and tennis. We follow this direction and analyse how a change in the probability of winning a tournament affects an agent’s effort. Specifically, we use the qualification rules for entry into the group stage of the UEFA Champions’ League which is a multi-national European football competition for top League clubs across Europe. Our dependent variable is total team payroll in a given season </w:t>
      </w:r>
      <w:r w:rsidR="001B1FF0">
        <w:rPr>
          <w:rFonts w:ascii="Garamond" w:hAnsi="Garamond"/>
          <w:sz w:val="24"/>
          <w:szCs w:val="24"/>
        </w:rPr>
        <w:t>and we have club panel data for four</w:t>
      </w:r>
      <w:r>
        <w:rPr>
          <w:rFonts w:ascii="Garamond" w:hAnsi="Garamond"/>
          <w:sz w:val="24"/>
          <w:szCs w:val="24"/>
        </w:rPr>
        <w:t xml:space="preserve"> seasons. Our focus independent variable is domestic rank in previous year interacted with number of available places in the Champions’ League. </w:t>
      </w:r>
      <w:r w:rsidR="008A6B07">
        <w:rPr>
          <w:rFonts w:ascii="Garamond" w:hAnsi="Garamond"/>
          <w:sz w:val="24"/>
          <w:szCs w:val="24"/>
        </w:rPr>
        <w:t xml:space="preserve">Our results suggest that increasing the probability of winning the tournament, by increasing the number of slots that a national league gets in the Champions League leads to increases in investment in talent </w:t>
      </w:r>
      <w:r w:rsidR="008A6B07">
        <w:rPr>
          <w:rFonts w:ascii="Garamond" w:hAnsi="Garamond"/>
          <w:i/>
          <w:sz w:val="24"/>
          <w:szCs w:val="24"/>
        </w:rPr>
        <w:t>ex ante</w:t>
      </w:r>
      <w:r w:rsidR="008A6B07">
        <w:rPr>
          <w:rFonts w:ascii="Garamond" w:hAnsi="Garamond"/>
          <w:sz w:val="24"/>
          <w:szCs w:val="24"/>
        </w:rPr>
        <w:t xml:space="preserve">. This effect is positive and statistically significant and is largest among the teams that are marginally affected by the change in the rules, those who in the previous season barely qualified or just failed to qualify. This suggests that changes in prize structure leads to changes in investment decisions amongst those clubs most affected at the margin. More generally, this provides support for the idea that in settings where ability can be manipulated, higher prizes increase investment in talent. </w:t>
      </w:r>
    </w:p>
    <w:p w:rsidR="00870875" w:rsidRDefault="00870875">
      <w:pPr>
        <w:rPr>
          <w:rFonts w:ascii="Garamond" w:hAnsi="Garamond"/>
          <w:b/>
          <w:sz w:val="24"/>
          <w:szCs w:val="24"/>
        </w:rPr>
      </w:pPr>
    </w:p>
    <w:p w:rsidR="00870875" w:rsidRDefault="00870875">
      <w:pPr>
        <w:rPr>
          <w:rFonts w:ascii="Garamond" w:hAnsi="Garamond"/>
          <w:b/>
          <w:sz w:val="24"/>
          <w:szCs w:val="24"/>
        </w:rPr>
      </w:pPr>
      <w:r>
        <w:rPr>
          <w:rFonts w:ascii="Garamond" w:hAnsi="Garamond"/>
          <w:b/>
          <w:sz w:val="24"/>
          <w:szCs w:val="24"/>
        </w:rPr>
        <w:t>Acknowledgements</w:t>
      </w:r>
    </w:p>
    <w:p w:rsidR="00870875" w:rsidRPr="00227C61" w:rsidRDefault="00227C61">
      <w:pPr>
        <w:rPr>
          <w:rFonts w:ascii="Garamond" w:hAnsi="Garamond"/>
          <w:sz w:val="24"/>
          <w:szCs w:val="24"/>
        </w:rPr>
      </w:pPr>
      <w:r>
        <w:rPr>
          <w:rFonts w:ascii="Garamond" w:hAnsi="Garamond"/>
          <w:sz w:val="24"/>
          <w:szCs w:val="24"/>
        </w:rPr>
        <w:t xml:space="preserve">We thank Bernd Frick for supplying the </w:t>
      </w:r>
      <w:r>
        <w:rPr>
          <w:rFonts w:ascii="Garamond" w:hAnsi="Garamond"/>
          <w:i/>
          <w:sz w:val="24"/>
          <w:szCs w:val="24"/>
        </w:rPr>
        <w:t xml:space="preserve">transfermarkt </w:t>
      </w:r>
      <w:r>
        <w:rPr>
          <w:rFonts w:ascii="Garamond" w:hAnsi="Garamond"/>
          <w:sz w:val="24"/>
          <w:szCs w:val="24"/>
        </w:rPr>
        <w:t>team payroll</w:t>
      </w:r>
      <w:r w:rsidR="008A6B07">
        <w:rPr>
          <w:rFonts w:ascii="Garamond" w:hAnsi="Garamond"/>
          <w:sz w:val="24"/>
          <w:szCs w:val="24"/>
        </w:rPr>
        <w:t xml:space="preserve"> data</w:t>
      </w:r>
      <w:r>
        <w:rPr>
          <w:rFonts w:ascii="Garamond" w:hAnsi="Garamond"/>
          <w:sz w:val="24"/>
          <w:szCs w:val="24"/>
        </w:rPr>
        <w:t xml:space="preserve"> used in this paper.</w:t>
      </w:r>
    </w:p>
    <w:p w:rsidR="00A861CD" w:rsidRPr="007379BD" w:rsidRDefault="007379BD" w:rsidP="007379BD">
      <w:pPr>
        <w:rPr>
          <w:rFonts w:ascii="Garamond" w:hAnsi="Garamond"/>
          <w:b/>
          <w:sz w:val="24"/>
          <w:szCs w:val="24"/>
        </w:rPr>
      </w:pPr>
      <w:r>
        <w:rPr>
          <w:rFonts w:ascii="Garamond" w:hAnsi="Garamond"/>
          <w:b/>
          <w:sz w:val="24"/>
          <w:szCs w:val="24"/>
        </w:rPr>
        <w:t>* Preliminary Draft</w:t>
      </w:r>
      <w:r w:rsidR="00870875" w:rsidRPr="007379BD">
        <w:rPr>
          <w:rFonts w:ascii="Garamond" w:hAnsi="Garamond"/>
          <w:b/>
          <w:sz w:val="24"/>
          <w:szCs w:val="24"/>
        </w:rPr>
        <w:br w:type="page"/>
      </w:r>
      <w:r w:rsidR="00295F90" w:rsidRPr="007379BD">
        <w:rPr>
          <w:rFonts w:ascii="Garamond" w:hAnsi="Garamond"/>
          <w:b/>
          <w:sz w:val="24"/>
          <w:szCs w:val="24"/>
        </w:rPr>
        <w:lastRenderedPageBreak/>
        <w:t>Introduction</w:t>
      </w:r>
    </w:p>
    <w:p w:rsidR="00F16589" w:rsidRDefault="00295F90" w:rsidP="0038784F">
      <w:pPr>
        <w:spacing w:line="480" w:lineRule="auto"/>
        <w:ind w:firstLine="360"/>
        <w:jc w:val="both"/>
        <w:rPr>
          <w:rFonts w:ascii="Garamond" w:hAnsi="Garamond"/>
          <w:sz w:val="24"/>
          <w:szCs w:val="24"/>
        </w:rPr>
      </w:pPr>
      <w:r w:rsidRPr="00295F90">
        <w:rPr>
          <w:rFonts w:ascii="Garamond" w:hAnsi="Garamond"/>
          <w:sz w:val="24"/>
          <w:szCs w:val="24"/>
        </w:rPr>
        <w:t xml:space="preserve">Rank order tournaments are commonly used in different organizations where the ordinal rank of output determines agents' compensation, yet </w:t>
      </w:r>
      <w:r>
        <w:rPr>
          <w:rFonts w:ascii="Garamond" w:hAnsi="Garamond"/>
          <w:sz w:val="24"/>
          <w:szCs w:val="24"/>
        </w:rPr>
        <w:t>output is only determined ex-post</w:t>
      </w:r>
      <w:r w:rsidRPr="00295F90">
        <w:rPr>
          <w:rFonts w:ascii="Garamond" w:hAnsi="Garamond"/>
          <w:sz w:val="24"/>
          <w:szCs w:val="24"/>
        </w:rPr>
        <w:t xml:space="preserve"> and in par</w:t>
      </w:r>
      <w:r w:rsidR="003A3A9F">
        <w:rPr>
          <w:rFonts w:ascii="Garamond" w:hAnsi="Garamond"/>
          <w:sz w:val="24"/>
          <w:szCs w:val="24"/>
        </w:rPr>
        <w:t>t by some random component.</w:t>
      </w:r>
      <w:r w:rsidR="0038784F">
        <w:rPr>
          <w:rFonts w:ascii="Garamond" w:hAnsi="Garamond"/>
          <w:sz w:val="24"/>
          <w:szCs w:val="24"/>
        </w:rPr>
        <w:t xml:space="preserve"> </w:t>
      </w:r>
      <w:r w:rsidR="003A3A9F">
        <w:rPr>
          <w:rFonts w:ascii="Garamond" w:hAnsi="Garamond"/>
          <w:sz w:val="24"/>
          <w:szCs w:val="24"/>
        </w:rPr>
        <w:t>Not</w:t>
      </w:r>
      <w:r w:rsidRPr="00295F90">
        <w:rPr>
          <w:rFonts w:ascii="Garamond" w:hAnsi="Garamond"/>
          <w:sz w:val="24"/>
          <w:szCs w:val="24"/>
        </w:rPr>
        <w:t>withstanding the fact that under certain assumptions these tournaments theoretically ach</w:t>
      </w:r>
      <w:r w:rsidR="00D84296">
        <w:rPr>
          <w:rFonts w:ascii="Garamond" w:hAnsi="Garamond"/>
          <w:sz w:val="24"/>
          <w:szCs w:val="24"/>
        </w:rPr>
        <w:t>ieve first-best agents' effort</w:t>
      </w:r>
      <w:r w:rsidR="00FC0DD8">
        <w:rPr>
          <w:rFonts w:ascii="Garamond" w:hAnsi="Garamond"/>
          <w:sz w:val="24"/>
          <w:szCs w:val="24"/>
        </w:rPr>
        <w:t>,</w:t>
      </w:r>
      <w:r w:rsidR="00D84296">
        <w:rPr>
          <w:rFonts w:ascii="Garamond" w:hAnsi="Garamond"/>
          <w:sz w:val="24"/>
          <w:szCs w:val="24"/>
        </w:rPr>
        <w:t xml:space="preserve"> tournaments are hard to test empirically because it is difficult to observe both a principal’s rewards and </w:t>
      </w:r>
      <w:r w:rsidR="0038784F">
        <w:rPr>
          <w:rFonts w:ascii="Garamond" w:hAnsi="Garamond"/>
          <w:sz w:val="24"/>
          <w:szCs w:val="24"/>
        </w:rPr>
        <w:t xml:space="preserve">an </w:t>
      </w:r>
      <w:r w:rsidR="00D84296">
        <w:rPr>
          <w:rFonts w:ascii="Garamond" w:hAnsi="Garamond"/>
          <w:sz w:val="24"/>
          <w:szCs w:val="24"/>
        </w:rPr>
        <w:t>agent’s effort. A sector where</w:t>
      </w:r>
      <w:r w:rsidR="0038784F">
        <w:rPr>
          <w:rFonts w:ascii="Garamond" w:hAnsi="Garamond"/>
          <w:sz w:val="24"/>
          <w:szCs w:val="24"/>
        </w:rPr>
        <w:t xml:space="preserve"> arguably</w:t>
      </w:r>
      <w:r w:rsidR="00D84296">
        <w:rPr>
          <w:rFonts w:ascii="Garamond" w:hAnsi="Garamond"/>
          <w:sz w:val="24"/>
          <w:szCs w:val="24"/>
        </w:rPr>
        <w:t xml:space="preserve"> both can be </w:t>
      </w:r>
      <w:r w:rsidR="00FC0DD8">
        <w:rPr>
          <w:rFonts w:ascii="Garamond" w:hAnsi="Garamond"/>
          <w:sz w:val="24"/>
          <w:szCs w:val="24"/>
        </w:rPr>
        <w:t>observed is the sports indust</w:t>
      </w:r>
      <w:r w:rsidR="0038784F">
        <w:rPr>
          <w:rFonts w:ascii="Garamond" w:hAnsi="Garamond"/>
          <w:sz w:val="24"/>
          <w:szCs w:val="24"/>
        </w:rPr>
        <w:t xml:space="preserve">ry. As a result a body of research has developed specifically using golf and tennis where tournaments have </w:t>
      </w:r>
      <w:r w:rsidR="0038784F">
        <w:rPr>
          <w:rFonts w:ascii="Garamond" w:hAnsi="Garamond"/>
          <w:i/>
          <w:sz w:val="24"/>
          <w:szCs w:val="24"/>
        </w:rPr>
        <w:t>ex ante</w:t>
      </w:r>
      <w:r w:rsidR="0038784F">
        <w:t xml:space="preserve"> </w:t>
      </w:r>
      <w:r w:rsidR="0038784F">
        <w:rPr>
          <w:rFonts w:ascii="Garamond" w:hAnsi="Garamond"/>
        </w:rPr>
        <w:t xml:space="preserve">fixed prize structures. </w:t>
      </w:r>
      <w:r w:rsidR="0038784F">
        <w:rPr>
          <w:rFonts w:ascii="Garamond" w:hAnsi="Garamond"/>
          <w:sz w:val="24"/>
          <w:szCs w:val="24"/>
        </w:rPr>
        <w:t xml:space="preserve">One difficulty </w:t>
      </w:r>
      <w:r w:rsidR="00264792">
        <w:rPr>
          <w:rFonts w:ascii="Garamond" w:hAnsi="Garamond"/>
          <w:sz w:val="24"/>
          <w:szCs w:val="24"/>
        </w:rPr>
        <w:t xml:space="preserve">with this approach is </w:t>
      </w:r>
      <w:r w:rsidR="0038784F">
        <w:rPr>
          <w:rFonts w:ascii="Garamond" w:hAnsi="Garamond"/>
          <w:sz w:val="24"/>
          <w:szCs w:val="24"/>
        </w:rPr>
        <w:t>that l</w:t>
      </w:r>
      <w:r w:rsidR="00264792">
        <w:rPr>
          <w:rFonts w:ascii="Garamond" w:hAnsi="Garamond"/>
          <w:sz w:val="24"/>
          <w:szCs w:val="24"/>
        </w:rPr>
        <w:t xml:space="preserve">ittle variation </w:t>
      </w:r>
      <w:r w:rsidR="00F172B5" w:rsidRPr="00264792">
        <w:rPr>
          <w:rFonts w:ascii="Garamond" w:hAnsi="Garamond"/>
          <w:sz w:val="24"/>
          <w:szCs w:val="24"/>
        </w:rPr>
        <w:t>in prize structure</w:t>
      </w:r>
      <w:r w:rsidR="0038784F">
        <w:rPr>
          <w:rFonts w:ascii="Garamond" w:hAnsi="Garamond"/>
          <w:sz w:val="24"/>
          <w:szCs w:val="24"/>
        </w:rPr>
        <w:t xml:space="preserve"> exists</w:t>
      </w:r>
      <w:r w:rsidR="00F172B5" w:rsidRPr="00264792">
        <w:rPr>
          <w:rFonts w:ascii="Garamond" w:hAnsi="Garamond"/>
          <w:sz w:val="24"/>
          <w:szCs w:val="24"/>
        </w:rPr>
        <w:t xml:space="preserve"> across time within a given tournament. As a result econometric identification of prize effects on effort is largely driven by either across tournament variation (</w:t>
      </w:r>
      <w:r w:rsidR="006D55B9" w:rsidRPr="00264792">
        <w:rPr>
          <w:rFonts w:ascii="Garamond" w:hAnsi="Garamond"/>
          <w:sz w:val="24"/>
          <w:szCs w:val="24"/>
        </w:rPr>
        <w:t>Ehrenberg and Bognanno, 1990)</w:t>
      </w:r>
      <w:r w:rsidR="00F172B5" w:rsidRPr="00264792">
        <w:rPr>
          <w:rFonts w:ascii="Garamond" w:hAnsi="Garamond"/>
          <w:sz w:val="24"/>
          <w:szCs w:val="24"/>
        </w:rPr>
        <w:t xml:space="preserve"> or within tournament variation in the pool of competitor survival at different levels of the tournament </w:t>
      </w:r>
      <w:r w:rsidR="00264792">
        <w:rPr>
          <w:rFonts w:ascii="Garamond" w:hAnsi="Garamond"/>
          <w:sz w:val="24"/>
          <w:szCs w:val="24"/>
        </w:rPr>
        <w:t xml:space="preserve">in the presence of paired contests </w:t>
      </w:r>
      <w:r w:rsidR="00F172B5" w:rsidRPr="00264792">
        <w:rPr>
          <w:rFonts w:ascii="Garamond" w:hAnsi="Garamond"/>
          <w:sz w:val="24"/>
          <w:szCs w:val="24"/>
        </w:rPr>
        <w:t>(</w:t>
      </w:r>
      <w:r w:rsidR="00BD6FCF" w:rsidRPr="00264792">
        <w:rPr>
          <w:rFonts w:ascii="Garamond" w:hAnsi="Garamond"/>
          <w:sz w:val="24"/>
          <w:szCs w:val="24"/>
        </w:rPr>
        <w:t>Sunde, 2009</w:t>
      </w:r>
      <w:r w:rsidR="00F172B5" w:rsidRPr="00264792">
        <w:rPr>
          <w:rFonts w:ascii="Garamond" w:hAnsi="Garamond"/>
          <w:sz w:val="24"/>
          <w:szCs w:val="24"/>
        </w:rPr>
        <w:t xml:space="preserve">). </w:t>
      </w:r>
      <w:r w:rsidR="0038784F">
        <w:rPr>
          <w:rFonts w:ascii="Garamond" w:hAnsi="Garamond"/>
          <w:sz w:val="24"/>
          <w:szCs w:val="24"/>
        </w:rPr>
        <w:t xml:space="preserve"> One concern with using across tournament variation is that it may conflate prize money with prestige.  </w:t>
      </w:r>
      <w:r w:rsidR="00F172B5">
        <w:rPr>
          <w:rFonts w:ascii="Garamond" w:hAnsi="Garamond"/>
          <w:sz w:val="24"/>
          <w:szCs w:val="24"/>
        </w:rPr>
        <w:t xml:space="preserve">We add to this literature by using a novel source of time variation in prize structure within given sporting tournaments, and examining how this influences a measure of agent’s </w:t>
      </w:r>
      <w:r w:rsidR="00F16589">
        <w:rPr>
          <w:rFonts w:ascii="Garamond" w:hAnsi="Garamond"/>
          <w:i/>
          <w:sz w:val="24"/>
          <w:szCs w:val="24"/>
        </w:rPr>
        <w:t>ex ante</w:t>
      </w:r>
      <w:r w:rsidR="00F172B5">
        <w:rPr>
          <w:rFonts w:ascii="Garamond" w:hAnsi="Garamond"/>
          <w:sz w:val="24"/>
          <w:szCs w:val="24"/>
        </w:rPr>
        <w:t xml:space="preserve"> decisions. S</w:t>
      </w:r>
      <w:r w:rsidR="00D84296">
        <w:rPr>
          <w:rFonts w:ascii="Garamond" w:hAnsi="Garamond"/>
          <w:sz w:val="24"/>
          <w:szCs w:val="24"/>
        </w:rPr>
        <w:t xml:space="preserve">pecifically, we use the qualification rules for entry into the group stage of the UEFA Champions’ </w:t>
      </w:r>
      <w:r w:rsidR="00E522C9">
        <w:rPr>
          <w:rFonts w:ascii="Garamond" w:hAnsi="Garamond"/>
          <w:sz w:val="24"/>
          <w:szCs w:val="24"/>
        </w:rPr>
        <w:t>League, which</w:t>
      </w:r>
      <w:r w:rsidR="00D84296">
        <w:rPr>
          <w:rFonts w:ascii="Garamond" w:hAnsi="Garamond"/>
          <w:sz w:val="24"/>
          <w:szCs w:val="24"/>
        </w:rPr>
        <w:t xml:space="preserve"> is a multi-national European </w:t>
      </w:r>
      <w:r w:rsidR="00F172B5">
        <w:rPr>
          <w:rFonts w:ascii="Garamond" w:hAnsi="Garamond"/>
          <w:sz w:val="24"/>
          <w:szCs w:val="24"/>
        </w:rPr>
        <w:t xml:space="preserve">soccer </w:t>
      </w:r>
      <w:r w:rsidR="00D84296">
        <w:rPr>
          <w:rFonts w:ascii="Garamond" w:hAnsi="Garamond"/>
          <w:sz w:val="24"/>
          <w:szCs w:val="24"/>
        </w:rPr>
        <w:t>competition for top League clubs across Europe. We use data from fourteen different</w:t>
      </w:r>
      <w:r w:rsidR="00F172B5">
        <w:rPr>
          <w:rFonts w:ascii="Garamond" w:hAnsi="Garamond"/>
          <w:sz w:val="24"/>
          <w:szCs w:val="24"/>
        </w:rPr>
        <w:t xml:space="preserve"> national</w:t>
      </w:r>
      <w:r w:rsidR="00D84296">
        <w:rPr>
          <w:rFonts w:ascii="Garamond" w:hAnsi="Garamond"/>
          <w:sz w:val="24"/>
          <w:szCs w:val="24"/>
        </w:rPr>
        <w:t xml:space="preserve"> leagues to test </w:t>
      </w:r>
      <w:r w:rsidR="00E522C9">
        <w:rPr>
          <w:rFonts w:ascii="Garamond" w:hAnsi="Garamond"/>
          <w:sz w:val="24"/>
          <w:szCs w:val="24"/>
        </w:rPr>
        <w:t>whether team effort</w:t>
      </w:r>
      <w:r w:rsidR="00D84296">
        <w:rPr>
          <w:rFonts w:ascii="Garamond" w:hAnsi="Garamond"/>
          <w:sz w:val="24"/>
          <w:szCs w:val="24"/>
        </w:rPr>
        <w:t xml:space="preserve"> respond</w:t>
      </w:r>
      <w:r w:rsidR="00FC0DD8">
        <w:rPr>
          <w:rFonts w:ascii="Garamond" w:hAnsi="Garamond"/>
          <w:sz w:val="24"/>
          <w:szCs w:val="24"/>
        </w:rPr>
        <w:t>s</w:t>
      </w:r>
      <w:r w:rsidR="00D84296">
        <w:rPr>
          <w:rFonts w:ascii="Garamond" w:hAnsi="Garamond"/>
          <w:sz w:val="24"/>
          <w:szCs w:val="24"/>
        </w:rPr>
        <w:t xml:space="preserve"> to a change in the number of slots that are assigned </w:t>
      </w:r>
      <w:r w:rsidR="00173888">
        <w:rPr>
          <w:rFonts w:ascii="Garamond" w:hAnsi="Garamond"/>
          <w:sz w:val="24"/>
          <w:szCs w:val="24"/>
        </w:rPr>
        <w:t xml:space="preserve">from the Champions League qualification rules </w:t>
      </w:r>
      <w:r w:rsidR="00D84296">
        <w:rPr>
          <w:rFonts w:ascii="Garamond" w:hAnsi="Garamond"/>
          <w:sz w:val="24"/>
          <w:szCs w:val="24"/>
        </w:rPr>
        <w:t xml:space="preserve">to </w:t>
      </w:r>
      <w:r w:rsidR="00946008">
        <w:rPr>
          <w:rFonts w:ascii="Garamond" w:hAnsi="Garamond"/>
          <w:sz w:val="24"/>
          <w:szCs w:val="24"/>
        </w:rPr>
        <w:t>teams from each league</w:t>
      </w:r>
      <w:r w:rsidR="00FC0DD8">
        <w:rPr>
          <w:rFonts w:ascii="Garamond" w:hAnsi="Garamond"/>
          <w:sz w:val="24"/>
          <w:szCs w:val="24"/>
        </w:rPr>
        <w:t>, and thus the probability of winning the tournament</w:t>
      </w:r>
      <w:r w:rsidR="00D84296">
        <w:rPr>
          <w:rFonts w:ascii="Garamond" w:hAnsi="Garamond"/>
          <w:sz w:val="24"/>
          <w:szCs w:val="24"/>
        </w:rPr>
        <w:t xml:space="preserve">. </w:t>
      </w:r>
    </w:p>
    <w:p w:rsidR="00740E8F" w:rsidRDefault="00F16589" w:rsidP="008A6B07">
      <w:pPr>
        <w:spacing w:line="480" w:lineRule="auto"/>
        <w:ind w:firstLine="720"/>
        <w:jc w:val="both"/>
        <w:rPr>
          <w:rFonts w:ascii="Garamond" w:hAnsi="Garamond"/>
          <w:sz w:val="24"/>
          <w:szCs w:val="24"/>
        </w:rPr>
      </w:pPr>
      <w:r>
        <w:rPr>
          <w:rFonts w:ascii="Garamond" w:hAnsi="Garamond"/>
          <w:sz w:val="24"/>
          <w:szCs w:val="24"/>
        </w:rPr>
        <w:t>The previous empirical literature has emphasised effort responses to prizes and treated selection on ability into tournaments as a confounding factor to be</w:t>
      </w:r>
      <w:r w:rsidR="00D5212E">
        <w:rPr>
          <w:rFonts w:ascii="Garamond" w:hAnsi="Garamond"/>
          <w:sz w:val="24"/>
          <w:szCs w:val="24"/>
        </w:rPr>
        <w:t xml:space="preserve"> controlled for </w:t>
      </w:r>
      <w:r>
        <w:rPr>
          <w:rFonts w:ascii="Garamond" w:hAnsi="Garamond"/>
          <w:sz w:val="24"/>
          <w:szCs w:val="24"/>
        </w:rPr>
        <w:t>(Ehrenberg and Bognanno, 1990; Coffey and Maloney, 2010</w:t>
      </w:r>
      <w:r w:rsidR="00133DAE">
        <w:rPr>
          <w:rFonts w:ascii="Garamond" w:hAnsi="Garamond"/>
          <w:sz w:val="24"/>
          <w:szCs w:val="24"/>
        </w:rPr>
        <w:t>; see Frick and Simmons, 2008 for a survey</w:t>
      </w:r>
      <w:r>
        <w:rPr>
          <w:rFonts w:ascii="Garamond" w:hAnsi="Garamond"/>
          <w:sz w:val="24"/>
          <w:szCs w:val="24"/>
        </w:rPr>
        <w:t>)</w:t>
      </w:r>
      <w:r w:rsidR="00264792">
        <w:rPr>
          <w:rFonts w:ascii="Garamond" w:hAnsi="Garamond"/>
          <w:sz w:val="24"/>
          <w:szCs w:val="24"/>
        </w:rPr>
        <w:t>. We adopt a different approach and specifically examine agents (clubs) responses to different prize spreads by trying to influence the ability of their workers (teams). Specifically, w</w:t>
      </w:r>
      <w:r w:rsidR="00D84296">
        <w:rPr>
          <w:rFonts w:ascii="Garamond" w:hAnsi="Garamond"/>
          <w:sz w:val="24"/>
          <w:szCs w:val="24"/>
        </w:rPr>
        <w:t xml:space="preserve">e </w:t>
      </w:r>
      <w:r w:rsidR="00264792">
        <w:rPr>
          <w:rFonts w:ascii="Garamond" w:hAnsi="Garamond"/>
          <w:sz w:val="24"/>
          <w:szCs w:val="24"/>
        </w:rPr>
        <w:t>examine</w:t>
      </w:r>
      <w:r w:rsidR="00D84296">
        <w:rPr>
          <w:rFonts w:ascii="Garamond" w:hAnsi="Garamond"/>
          <w:sz w:val="24"/>
          <w:szCs w:val="24"/>
        </w:rPr>
        <w:t xml:space="preserve"> </w:t>
      </w:r>
      <w:r w:rsidR="00264792">
        <w:rPr>
          <w:rFonts w:ascii="Garamond" w:hAnsi="Garamond"/>
          <w:sz w:val="24"/>
          <w:szCs w:val="24"/>
        </w:rPr>
        <w:t xml:space="preserve">the </w:t>
      </w:r>
      <w:r w:rsidR="00264792">
        <w:rPr>
          <w:rFonts w:ascii="Garamond" w:hAnsi="Garamond"/>
          <w:sz w:val="24"/>
          <w:szCs w:val="24"/>
        </w:rPr>
        <w:lastRenderedPageBreak/>
        <w:t xml:space="preserve">effect of </w:t>
      </w:r>
      <w:r w:rsidR="00F172B5">
        <w:rPr>
          <w:rFonts w:ascii="Garamond" w:hAnsi="Garamond"/>
          <w:sz w:val="24"/>
          <w:szCs w:val="24"/>
        </w:rPr>
        <w:t>variation in prize</w:t>
      </w:r>
      <w:r w:rsidR="00264792">
        <w:rPr>
          <w:rFonts w:ascii="Garamond" w:hAnsi="Garamond"/>
          <w:sz w:val="24"/>
          <w:szCs w:val="24"/>
        </w:rPr>
        <w:t>s,</w:t>
      </w:r>
      <w:r w:rsidR="00F172B5">
        <w:rPr>
          <w:rFonts w:ascii="Garamond" w:hAnsi="Garamond"/>
          <w:sz w:val="24"/>
          <w:szCs w:val="24"/>
        </w:rPr>
        <w:t xml:space="preserve"> provided by within-national league time variation </w:t>
      </w:r>
      <w:r w:rsidR="00FC0DD8">
        <w:rPr>
          <w:rFonts w:ascii="Garamond" w:hAnsi="Garamond"/>
          <w:sz w:val="24"/>
          <w:szCs w:val="24"/>
        </w:rPr>
        <w:t xml:space="preserve">the number of slots each country gets </w:t>
      </w:r>
      <w:r w:rsidR="00AB3815">
        <w:rPr>
          <w:rFonts w:ascii="Garamond" w:hAnsi="Garamond"/>
          <w:sz w:val="24"/>
          <w:szCs w:val="24"/>
        </w:rPr>
        <w:t>for</w:t>
      </w:r>
      <w:r w:rsidR="00FC0DD8">
        <w:rPr>
          <w:rFonts w:ascii="Garamond" w:hAnsi="Garamond"/>
          <w:sz w:val="24"/>
          <w:szCs w:val="24"/>
        </w:rPr>
        <w:t xml:space="preserve"> the Champions League</w:t>
      </w:r>
      <w:r w:rsidR="00264792">
        <w:rPr>
          <w:rFonts w:ascii="Garamond" w:hAnsi="Garamond"/>
          <w:sz w:val="24"/>
          <w:szCs w:val="24"/>
        </w:rPr>
        <w:t>, on investment in talent at the beginning of a season.</w:t>
      </w:r>
      <w:r w:rsidR="00133DAE">
        <w:rPr>
          <w:rFonts w:ascii="Garamond" w:hAnsi="Garamond"/>
          <w:sz w:val="24"/>
          <w:szCs w:val="24"/>
        </w:rPr>
        <w:t xml:space="preserve"> </w:t>
      </w:r>
    </w:p>
    <w:p w:rsidR="00813B15" w:rsidRDefault="00942BFE" w:rsidP="00813B15">
      <w:pPr>
        <w:spacing w:line="480" w:lineRule="auto"/>
        <w:ind w:firstLine="720"/>
        <w:jc w:val="both"/>
        <w:rPr>
          <w:rFonts w:ascii="Garamond" w:hAnsi="Garamond"/>
          <w:sz w:val="24"/>
          <w:szCs w:val="24"/>
        </w:rPr>
      </w:pPr>
      <w:r>
        <w:rPr>
          <w:rFonts w:ascii="Garamond" w:hAnsi="Garamond"/>
          <w:sz w:val="24"/>
          <w:szCs w:val="24"/>
        </w:rPr>
        <w:t>Our results suggest that increasing the probability of winning the tournament, by increasing the number of slots that a national league get</w:t>
      </w:r>
      <w:r w:rsidR="0003167A">
        <w:rPr>
          <w:rFonts w:ascii="Garamond" w:hAnsi="Garamond"/>
          <w:sz w:val="24"/>
          <w:szCs w:val="24"/>
        </w:rPr>
        <w:t>s in the Champions League</w:t>
      </w:r>
      <w:r w:rsidR="00813B15">
        <w:rPr>
          <w:rFonts w:ascii="Garamond" w:hAnsi="Garamond"/>
          <w:sz w:val="24"/>
          <w:szCs w:val="24"/>
        </w:rPr>
        <w:t xml:space="preserve"> leads to increases in investment in talent </w:t>
      </w:r>
      <w:r w:rsidR="00813B15">
        <w:rPr>
          <w:rFonts w:ascii="Garamond" w:hAnsi="Garamond"/>
          <w:i/>
          <w:sz w:val="24"/>
          <w:szCs w:val="24"/>
        </w:rPr>
        <w:t>ex ante</w:t>
      </w:r>
      <w:r w:rsidR="00813B15">
        <w:rPr>
          <w:rFonts w:ascii="Garamond" w:hAnsi="Garamond"/>
          <w:sz w:val="24"/>
          <w:szCs w:val="24"/>
        </w:rPr>
        <w:t>.</w:t>
      </w:r>
      <w:r>
        <w:rPr>
          <w:rFonts w:ascii="Garamond" w:hAnsi="Garamond"/>
          <w:sz w:val="24"/>
          <w:szCs w:val="24"/>
        </w:rPr>
        <w:t xml:space="preserve"> This effect is positive and statistically significant</w:t>
      </w:r>
      <w:r w:rsidR="0003167A">
        <w:rPr>
          <w:rFonts w:ascii="Garamond" w:hAnsi="Garamond"/>
          <w:sz w:val="24"/>
          <w:szCs w:val="24"/>
        </w:rPr>
        <w:t xml:space="preserve"> </w:t>
      </w:r>
      <w:r>
        <w:rPr>
          <w:rFonts w:ascii="Garamond" w:hAnsi="Garamond"/>
          <w:sz w:val="24"/>
          <w:szCs w:val="24"/>
        </w:rPr>
        <w:t>and is largest among</w:t>
      </w:r>
      <w:r w:rsidR="0003167A">
        <w:rPr>
          <w:rFonts w:ascii="Garamond" w:hAnsi="Garamond"/>
          <w:sz w:val="24"/>
          <w:szCs w:val="24"/>
        </w:rPr>
        <w:t xml:space="preserve"> the teams that are marginally a</w:t>
      </w:r>
      <w:r>
        <w:rPr>
          <w:rFonts w:ascii="Garamond" w:hAnsi="Garamond"/>
          <w:sz w:val="24"/>
          <w:szCs w:val="24"/>
        </w:rPr>
        <w:t xml:space="preserve">ffected by the change in the rules, those who </w:t>
      </w:r>
      <w:r w:rsidR="00364D2F">
        <w:rPr>
          <w:rFonts w:ascii="Garamond" w:hAnsi="Garamond"/>
          <w:sz w:val="24"/>
          <w:szCs w:val="24"/>
        </w:rPr>
        <w:t xml:space="preserve">in the previous season </w:t>
      </w:r>
      <w:r>
        <w:rPr>
          <w:rFonts w:ascii="Garamond" w:hAnsi="Garamond"/>
          <w:sz w:val="24"/>
          <w:szCs w:val="24"/>
        </w:rPr>
        <w:t xml:space="preserve">barely qualified or </w:t>
      </w:r>
      <w:r w:rsidR="00813B15">
        <w:rPr>
          <w:rFonts w:ascii="Garamond" w:hAnsi="Garamond"/>
          <w:sz w:val="24"/>
          <w:szCs w:val="24"/>
        </w:rPr>
        <w:t xml:space="preserve">just </w:t>
      </w:r>
      <w:r w:rsidR="00133DAE">
        <w:rPr>
          <w:rFonts w:ascii="Garamond" w:hAnsi="Garamond"/>
          <w:sz w:val="24"/>
          <w:szCs w:val="24"/>
        </w:rPr>
        <w:t>failed to qualify</w:t>
      </w:r>
      <w:r>
        <w:rPr>
          <w:rFonts w:ascii="Garamond" w:hAnsi="Garamond"/>
          <w:sz w:val="24"/>
          <w:szCs w:val="24"/>
        </w:rPr>
        <w:t xml:space="preserve">. </w:t>
      </w:r>
      <w:r w:rsidR="00813B15">
        <w:rPr>
          <w:rFonts w:ascii="Garamond" w:hAnsi="Garamond"/>
          <w:sz w:val="24"/>
          <w:szCs w:val="24"/>
        </w:rPr>
        <w:t xml:space="preserve">This suggests that changes in prize structure leads to changes in investment decisions amongst those clubs most affected at the margin. More generally, this provides support for the idea that in settings where ability can be manipulated, higher prizes increase investment in talent. </w:t>
      </w:r>
    </w:p>
    <w:p w:rsidR="00353F9C" w:rsidRPr="003102C2" w:rsidRDefault="001B7036" w:rsidP="003102C2">
      <w:pPr>
        <w:pStyle w:val="ListParagraph"/>
        <w:numPr>
          <w:ilvl w:val="0"/>
          <w:numId w:val="1"/>
        </w:numPr>
        <w:spacing w:line="480" w:lineRule="auto"/>
        <w:jc w:val="both"/>
        <w:rPr>
          <w:rFonts w:ascii="Garamond" w:hAnsi="Garamond"/>
          <w:b/>
          <w:sz w:val="24"/>
          <w:szCs w:val="24"/>
        </w:rPr>
      </w:pPr>
      <w:r w:rsidRPr="003102C2">
        <w:rPr>
          <w:rFonts w:ascii="Garamond" w:hAnsi="Garamond"/>
          <w:b/>
          <w:sz w:val="24"/>
          <w:szCs w:val="24"/>
        </w:rPr>
        <w:t xml:space="preserve">Background </w:t>
      </w:r>
    </w:p>
    <w:p w:rsidR="00E21200" w:rsidRDefault="00EC7AA6" w:rsidP="000339F8">
      <w:pPr>
        <w:spacing w:line="480" w:lineRule="auto"/>
        <w:ind w:firstLine="720"/>
        <w:jc w:val="both"/>
        <w:rPr>
          <w:rFonts w:ascii="Garamond" w:hAnsi="Garamond"/>
          <w:sz w:val="24"/>
          <w:szCs w:val="24"/>
        </w:rPr>
      </w:pPr>
      <w:r w:rsidRPr="00295F90">
        <w:rPr>
          <w:rFonts w:ascii="Garamond" w:hAnsi="Garamond"/>
          <w:sz w:val="24"/>
          <w:szCs w:val="24"/>
        </w:rPr>
        <w:t xml:space="preserve">For soccer teams in Europe, qualifying to the UEFA Champions </w:t>
      </w:r>
      <w:r w:rsidR="001B7036">
        <w:rPr>
          <w:rFonts w:ascii="Garamond" w:hAnsi="Garamond"/>
          <w:sz w:val="24"/>
          <w:szCs w:val="24"/>
        </w:rPr>
        <w:t>League</w:t>
      </w:r>
      <w:r w:rsidRPr="00295F90">
        <w:rPr>
          <w:rFonts w:ascii="Garamond" w:hAnsi="Garamond"/>
          <w:sz w:val="24"/>
          <w:szCs w:val="24"/>
        </w:rPr>
        <w:t xml:space="preserve"> is a high stakes tournam</w:t>
      </w:r>
      <w:r w:rsidR="00A95AC1">
        <w:rPr>
          <w:rFonts w:ascii="Garamond" w:hAnsi="Garamond"/>
          <w:sz w:val="24"/>
          <w:szCs w:val="24"/>
        </w:rPr>
        <w:t>ent, as the rewards usually run well into the</w:t>
      </w:r>
      <w:r w:rsidRPr="00295F90">
        <w:rPr>
          <w:rFonts w:ascii="Garamond" w:hAnsi="Garamond"/>
          <w:sz w:val="24"/>
          <w:szCs w:val="24"/>
        </w:rPr>
        <w:t xml:space="preserve"> millions of E</w:t>
      </w:r>
      <w:r w:rsidR="00D432BA">
        <w:rPr>
          <w:rFonts w:ascii="Garamond" w:hAnsi="Garamond"/>
          <w:sz w:val="24"/>
          <w:szCs w:val="24"/>
        </w:rPr>
        <w:t xml:space="preserve">uros. For example, for the 2012 to </w:t>
      </w:r>
      <w:r w:rsidRPr="00295F90">
        <w:rPr>
          <w:rFonts w:ascii="Garamond" w:hAnsi="Garamond"/>
          <w:sz w:val="24"/>
          <w:szCs w:val="24"/>
        </w:rPr>
        <w:t>2013 tournament, the Italian side Juventus earned more the 65 million dollars</w:t>
      </w:r>
      <w:r w:rsidR="001B7036">
        <w:rPr>
          <w:rFonts w:ascii="Garamond" w:hAnsi="Garamond"/>
          <w:sz w:val="24"/>
          <w:szCs w:val="24"/>
        </w:rPr>
        <w:t xml:space="preserve"> alone</w:t>
      </w:r>
      <w:r w:rsidRPr="00295F90">
        <w:rPr>
          <w:rFonts w:ascii="Garamond" w:hAnsi="Garamond"/>
          <w:sz w:val="24"/>
          <w:szCs w:val="24"/>
        </w:rPr>
        <w:t xml:space="preserve"> from participating in this tournament</w:t>
      </w:r>
      <w:r w:rsidR="001B7036">
        <w:rPr>
          <w:rFonts w:ascii="Garamond" w:hAnsi="Garamond"/>
          <w:sz w:val="24"/>
          <w:szCs w:val="24"/>
        </w:rPr>
        <w:t xml:space="preserve">. This combined with the rank order nature of qualification into the Champions League leads to large discontinuities in club revenue. </w:t>
      </w:r>
      <w:r w:rsidR="000339F8">
        <w:rPr>
          <w:rFonts w:ascii="Garamond" w:hAnsi="Garamond"/>
          <w:sz w:val="24"/>
          <w:szCs w:val="24"/>
        </w:rPr>
        <w:t>The difference between qualification and non-qualification leads to a large prize spread across two rank positions in the league table. This, and any variation in the number of qualification places, will influence club</w:t>
      </w:r>
      <w:r w:rsidR="00D5212E">
        <w:rPr>
          <w:rFonts w:ascii="Garamond" w:hAnsi="Garamond"/>
          <w:sz w:val="24"/>
          <w:szCs w:val="24"/>
        </w:rPr>
        <w:t xml:space="preserve"> incentives over several dimensions </w:t>
      </w:r>
      <w:r w:rsidR="000339F8">
        <w:rPr>
          <w:rFonts w:ascii="Garamond" w:hAnsi="Garamond"/>
          <w:sz w:val="24"/>
          <w:szCs w:val="24"/>
        </w:rPr>
        <w:t xml:space="preserve">including pre-season investment decisions. </w:t>
      </w:r>
      <w:r w:rsidR="000339F8" w:rsidRPr="00920EBA">
        <w:rPr>
          <w:rFonts w:ascii="Garamond" w:hAnsi="Garamond"/>
          <w:sz w:val="24"/>
          <w:szCs w:val="24"/>
        </w:rPr>
        <w:t>More generally, a</w:t>
      </w:r>
      <w:r w:rsidR="00E21200" w:rsidRPr="00920EBA">
        <w:rPr>
          <w:rFonts w:ascii="Garamond" w:hAnsi="Garamond"/>
          <w:sz w:val="24"/>
          <w:szCs w:val="24"/>
        </w:rPr>
        <w:t xml:space="preserve"> number of empirical papers have shown how team payroll spending is correlated with League ranking and hence </w:t>
      </w:r>
      <w:r w:rsidR="00550DFA">
        <w:rPr>
          <w:rFonts w:ascii="Garamond" w:hAnsi="Garamond"/>
          <w:sz w:val="24"/>
          <w:szCs w:val="24"/>
        </w:rPr>
        <w:t xml:space="preserve">the </w:t>
      </w:r>
      <w:r w:rsidR="00E21200" w:rsidRPr="00920EBA">
        <w:rPr>
          <w:rFonts w:ascii="Garamond" w:hAnsi="Garamond"/>
          <w:sz w:val="24"/>
          <w:szCs w:val="24"/>
        </w:rPr>
        <w:t>likelihood of qualifying fo</w:t>
      </w:r>
      <w:r w:rsidR="00133DAE">
        <w:rPr>
          <w:rFonts w:ascii="Garamond" w:hAnsi="Garamond"/>
          <w:sz w:val="24"/>
          <w:szCs w:val="24"/>
        </w:rPr>
        <w:t>r the Champions’ League  (Simmons and Forrest, 2004; Frick, 2013; Szymanski, 2013</w:t>
      </w:r>
      <w:r w:rsidR="00E21200" w:rsidRPr="00920EBA">
        <w:rPr>
          <w:rFonts w:ascii="Garamond" w:hAnsi="Garamond"/>
          <w:sz w:val="24"/>
          <w:szCs w:val="24"/>
        </w:rPr>
        <w:t>)</w:t>
      </w:r>
      <w:r w:rsidR="000339F8" w:rsidRPr="00920EBA">
        <w:rPr>
          <w:rFonts w:ascii="Garamond" w:hAnsi="Garamond"/>
          <w:sz w:val="24"/>
          <w:szCs w:val="24"/>
        </w:rPr>
        <w:t>.</w:t>
      </w:r>
      <w:r w:rsidR="00133DAE">
        <w:rPr>
          <w:rFonts w:ascii="Garamond" w:hAnsi="Garamond"/>
          <w:sz w:val="24"/>
          <w:szCs w:val="24"/>
        </w:rPr>
        <w:t xml:space="preserve"> </w:t>
      </w:r>
      <w:r w:rsidR="000339F8" w:rsidRPr="00920EBA">
        <w:rPr>
          <w:rFonts w:ascii="Garamond" w:hAnsi="Garamond"/>
          <w:sz w:val="24"/>
          <w:szCs w:val="24"/>
        </w:rPr>
        <w:t xml:space="preserve"> In addition</w:t>
      </w:r>
      <w:r w:rsidR="00740E8F">
        <w:rPr>
          <w:rFonts w:ascii="Garamond" w:hAnsi="Garamond"/>
          <w:sz w:val="24"/>
          <w:szCs w:val="24"/>
        </w:rPr>
        <w:t>,</w:t>
      </w:r>
      <w:r w:rsidR="00E21200" w:rsidRPr="00920EBA">
        <w:rPr>
          <w:rFonts w:ascii="Garamond" w:hAnsi="Garamond"/>
          <w:sz w:val="24"/>
          <w:szCs w:val="24"/>
        </w:rPr>
        <w:t xml:space="preserve"> Shokkaert and Swi</w:t>
      </w:r>
      <w:r w:rsidR="00920EBA">
        <w:rPr>
          <w:rFonts w:ascii="Garamond" w:hAnsi="Garamond"/>
          <w:sz w:val="24"/>
          <w:szCs w:val="24"/>
        </w:rPr>
        <w:t>nnen (2013</w:t>
      </w:r>
      <w:r w:rsidR="00133DAE">
        <w:rPr>
          <w:rFonts w:ascii="Garamond" w:hAnsi="Garamond"/>
          <w:sz w:val="24"/>
          <w:szCs w:val="24"/>
        </w:rPr>
        <w:t xml:space="preserve">) show that outcome uncertainty has increased within the Champions League </w:t>
      </w:r>
      <w:r w:rsidR="00E21200" w:rsidRPr="00920EBA">
        <w:rPr>
          <w:rFonts w:ascii="Garamond" w:hAnsi="Garamond"/>
          <w:sz w:val="24"/>
          <w:szCs w:val="24"/>
        </w:rPr>
        <w:t>after the introduct</w:t>
      </w:r>
      <w:r w:rsidR="000339F8" w:rsidRPr="00920EBA">
        <w:rPr>
          <w:rFonts w:ascii="Garamond" w:hAnsi="Garamond"/>
          <w:sz w:val="24"/>
          <w:szCs w:val="24"/>
        </w:rPr>
        <w:t>ion of the new qualifying rules that we will exploit in our empirical approach.</w:t>
      </w:r>
      <w:r w:rsidR="000339F8">
        <w:rPr>
          <w:rFonts w:ascii="Garamond" w:hAnsi="Garamond"/>
          <w:sz w:val="24"/>
          <w:szCs w:val="24"/>
        </w:rPr>
        <w:t xml:space="preserve"> </w:t>
      </w:r>
    </w:p>
    <w:p w:rsidR="00B11FC0" w:rsidRDefault="00600B13" w:rsidP="00600B13">
      <w:pPr>
        <w:spacing w:line="480" w:lineRule="auto"/>
        <w:ind w:firstLine="720"/>
        <w:rPr>
          <w:rFonts w:ascii="Garamond" w:hAnsi="Garamond"/>
          <w:sz w:val="24"/>
          <w:szCs w:val="24"/>
        </w:rPr>
      </w:pPr>
      <w:r>
        <w:rPr>
          <w:rFonts w:ascii="Garamond" w:hAnsi="Garamond"/>
          <w:sz w:val="24"/>
          <w:szCs w:val="24"/>
        </w:rPr>
        <w:lastRenderedPageBreak/>
        <w:t xml:space="preserve">A simple two-player tournament model can be summarised concisely as follows (our presentation closely follows Connelly </w:t>
      </w:r>
      <w:r w:rsidRPr="00227C61">
        <w:rPr>
          <w:rFonts w:ascii="Garamond" w:hAnsi="Garamond"/>
          <w:i/>
          <w:sz w:val="24"/>
          <w:szCs w:val="24"/>
        </w:rPr>
        <w:t>e</w:t>
      </w:r>
      <w:r w:rsidR="00227C61" w:rsidRPr="00227C61">
        <w:rPr>
          <w:rFonts w:ascii="Garamond" w:hAnsi="Garamond"/>
          <w:i/>
          <w:sz w:val="24"/>
          <w:szCs w:val="24"/>
        </w:rPr>
        <w:t>t al.</w:t>
      </w:r>
      <w:r w:rsidR="00227C61">
        <w:rPr>
          <w:rFonts w:ascii="Garamond" w:hAnsi="Garamond"/>
          <w:sz w:val="24"/>
          <w:szCs w:val="24"/>
        </w:rPr>
        <w:t xml:space="preserve"> 2014</w:t>
      </w:r>
      <w:r>
        <w:rPr>
          <w:rFonts w:ascii="Garamond" w:hAnsi="Garamond"/>
          <w:sz w:val="24"/>
          <w:szCs w:val="24"/>
        </w:rPr>
        <w:t xml:space="preserve">). Denote </w:t>
      </w:r>
      <w:r>
        <w:rPr>
          <w:rFonts w:ascii="Garamond" w:hAnsi="Garamond"/>
          <w:i/>
          <w:sz w:val="24"/>
          <w:szCs w:val="24"/>
        </w:rPr>
        <w:t>q</w:t>
      </w:r>
      <w:r>
        <w:rPr>
          <w:rFonts w:ascii="Garamond" w:hAnsi="Garamond"/>
          <w:i/>
          <w:sz w:val="24"/>
          <w:szCs w:val="24"/>
          <w:vertAlign w:val="subscript"/>
        </w:rPr>
        <w:t xml:space="preserve">j </w:t>
      </w:r>
      <w:r>
        <w:rPr>
          <w:rFonts w:ascii="Garamond" w:hAnsi="Garamond"/>
          <w:sz w:val="24"/>
          <w:szCs w:val="24"/>
        </w:rPr>
        <w:t xml:space="preserve"> as output, </w:t>
      </w:r>
      <w:r>
        <w:rPr>
          <w:rFonts w:ascii="Garamond" w:hAnsi="Garamond"/>
          <w:i/>
          <w:sz w:val="24"/>
          <w:szCs w:val="24"/>
        </w:rPr>
        <w:t>μ</w:t>
      </w:r>
      <w:r>
        <w:rPr>
          <w:rFonts w:ascii="Garamond" w:hAnsi="Garamond"/>
          <w:i/>
          <w:sz w:val="24"/>
          <w:szCs w:val="24"/>
          <w:vertAlign w:val="subscript"/>
        </w:rPr>
        <w:t>j</w:t>
      </w:r>
      <w:r>
        <w:rPr>
          <w:rFonts w:ascii="Garamond" w:hAnsi="Garamond"/>
          <w:i/>
          <w:sz w:val="24"/>
          <w:szCs w:val="24"/>
        </w:rPr>
        <w:t xml:space="preserve"> </w:t>
      </w:r>
      <w:r>
        <w:rPr>
          <w:rFonts w:ascii="Garamond" w:hAnsi="Garamond"/>
          <w:sz w:val="24"/>
          <w:szCs w:val="24"/>
        </w:rPr>
        <w:t xml:space="preserve">as effort or investment (where these terms are used synonymously) and </w:t>
      </w:r>
      <w:r>
        <w:rPr>
          <w:rFonts w:ascii="Garamond" w:hAnsi="Garamond"/>
          <w:i/>
          <w:sz w:val="24"/>
          <w:szCs w:val="24"/>
        </w:rPr>
        <w:t>ε</w:t>
      </w:r>
      <w:r>
        <w:rPr>
          <w:rFonts w:ascii="Garamond" w:hAnsi="Garamond"/>
          <w:i/>
          <w:sz w:val="24"/>
          <w:szCs w:val="24"/>
          <w:vertAlign w:val="subscript"/>
        </w:rPr>
        <w:t>j</w:t>
      </w:r>
      <w:r>
        <w:rPr>
          <w:rFonts w:ascii="Garamond" w:hAnsi="Garamond"/>
          <w:sz w:val="24"/>
          <w:szCs w:val="24"/>
        </w:rPr>
        <w:t xml:space="preserve"> as luck. Then </w:t>
      </w:r>
      <w:r>
        <w:rPr>
          <w:rFonts w:ascii="Garamond" w:hAnsi="Garamond"/>
          <w:i/>
          <w:sz w:val="24"/>
          <w:szCs w:val="24"/>
        </w:rPr>
        <w:t>q</w:t>
      </w:r>
      <w:r>
        <w:rPr>
          <w:rFonts w:ascii="Garamond" w:hAnsi="Garamond"/>
          <w:i/>
          <w:sz w:val="24"/>
          <w:szCs w:val="24"/>
          <w:vertAlign w:val="subscript"/>
        </w:rPr>
        <w:t xml:space="preserve">j </w:t>
      </w:r>
      <w:r>
        <w:rPr>
          <w:rFonts w:ascii="Garamond" w:hAnsi="Garamond"/>
          <w:sz w:val="24"/>
          <w:szCs w:val="24"/>
        </w:rPr>
        <w:t xml:space="preserve"> = </w:t>
      </w:r>
      <w:r>
        <w:rPr>
          <w:rFonts w:ascii="Garamond" w:hAnsi="Garamond"/>
          <w:i/>
          <w:sz w:val="24"/>
          <w:szCs w:val="24"/>
        </w:rPr>
        <w:t>μ</w:t>
      </w:r>
      <w:r>
        <w:rPr>
          <w:rFonts w:ascii="Garamond" w:hAnsi="Garamond"/>
          <w:i/>
          <w:sz w:val="24"/>
          <w:szCs w:val="24"/>
          <w:vertAlign w:val="subscript"/>
        </w:rPr>
        <w:t>j</w:t>
      </w:r>
      <w:r>
        <w:rPr>
          <w:rFonts w:ascii="Garamond" w:hAnsi="Garamond"/>
          <w:i/>
          <w:sz w:val="24"/>
          <w:szCs w:val="24"/>
        </w:rPr>
        <w:t xml:space="preserve"> </w:t>
      </w:r>
      <w:r>
        <w:rPr>
          <w:rFonts w:ascii="Garamond" w:hAnsi="Garamond"/>
          <w:sz w:val="24"/>
          <w:szCs w:val="24"/>
        </w:rPr>
        <w:t>+</w:t>
      </w:r>
      <w:r>
        <w:rPr>
          <w:rFonts w:ascii="Garamond" w:hAnsi="Garamond"/>
          <w:i/>
          <w:sz w:val="24"/>
          <w:szCs w:val="24"/>
        </w:rPr>
        <w:t>ε</w:t>
      </w:r>
      <w:r>
        <w:rPr>
          <w:rFonts w:ascii="Garamond" w:hAnsi="Garamond"/>
          <w:i/>
          <w:sz w:val="24"/>
          <w:szCs w:val="24"/>
          <w:vertAlign w:val="subscript"/>
        </w:rPr>
        <w:t>j</w:t>
      </w:r>
      <w:r>
        <w:rPr>
          <w:rFonts w:ascii="Garamond" w:hAnsi="Garamond"/>
          <w:sz w:val="24"/>
          <w:szCs w:val="24"/>
        </w:rPr>
        <w:t xml:space="preserve"> for contestant </w:t>
      </w:r>
      <w:r>
        <w:rPr>
          <w:rFonts w:ascii="Garamond" w:hAnsi="Garamond"/>
          <w:i/>
          <w:sz w:val="24"/>
          <w:szCs w:val="24"/>
        </w:rPr>
        <w:t>j</w:t>
      </w:r>
      <w:r>
        <w:rPr>
          <w:rFonts w:ascii="Garamond" w:hAnsi="Garamond"/>
          <w:sz w:val="24"/>
          <w:szCs w:val="24"/>
        </w:rPr>
        <w:t xml:space="preserve"> . If the cost of effort function is given by </w:t>
      </w:r>
      <w:r>
        <w:rPr>
          <w:rFonts w:ascii="Garamond" w:hAnsi="Garamond"/>
          <w:i/>
          <w:sz w:val="24"/>
          <w:szCs w:val="24"/>
        </w:rPr>
        <w:t>C</w:t>
      </w:r>
      <w:r>
        <w:rPr>
          <w:rFonts w:ascii="Garamond" w:hAnsi="Garamond"/>
          <w:sz w:val="24"/>
          <w:szCs w:val="24"/>
        </w:rPr>
        <w:t>(</w:t>
      </w:r>
      <w:r>
        <w:rPr>
          <w:rFonts w:ascii="Garamond" w:hAnsi="Garamond"/>
          <w:i/>
          <w:sz w:val="24"/>
          <w:szCs w:val="24"/>
        </w:rPr>
        <w:t>μ</w:t>
      </w:r>
      <w:r>
        <w:rPr>
          <w:rFonts w:ascii="Garamond" w:hAnsi="Garamond"/>
          <w:sz w:val="24"/>
          <w:szCs w:val="24"/>
        </w:rPr>
        <w:t xml:space="preserve">) then the expected payoff from winning a prize </w:t>
      </w:r>
      <w:r>
        <w:rPr>
          <w:rFonts w:ascii="Garamond" w:hAnsi="Garamond"/>
          <w:i/>
          <w:sz w:val="24"/>
          <w:szCs w:val="24"/>
        </w:rPr>
        <w:t>W</w:t>
      </w:r>
      <w:r>
        <w:rPr>
          <w:rFonts w:ascii="Garamond" w:hAnsi="Garamond"/>
          <w:sz w:val="24"/>
          <w:szCs w:val="24"/>
          <w:vertAlign w:val="subscript"/>
        </w:rPr>
        <w:t>1</w:t>
      </w:r>
      <w:r>
        <w:rPr>
          <w:rFonts w:ascii="Garamond" w:hAnsi="Garamond"/>
          <w:sz w:val="24"/>
          <w:szCs w:val="24"/>
        </w:rPr>
        <w:t xml:space="preserve">  with probability </w:t>
      </w:r>
      <w:r>
        <w:rPr>
          <w:rFonts w:ascii="Garamond" w:hAnsi="Garamond"/>
          <w:i/>
          <w:sz w:val="24"/>
          <w:szCs w:val="24"/>
        </w:rPr>
        <w:t xml:space="preserve">P </w:t>
      </w:r>
      <w:r>
        <w:rPr>
          <w:rFonts w:ascii="Garamond" w:hAnsi="Garamond"/>
          <w:sz w:val="24"/>
          <w:szCs w:val="24"/>
        </w:rPr>
        <w:t xml:space="preserve">and retaining a sum </w:t>
      </w:r>
      <w:r>
        <w:rPr>
          <w:rFonts w:ascii="Garamond" w:hAnsi="Garamond"/>
          <w:i/>
          <w:sz w:val="24"/>
          <w:szCs w:val="24"/>
        </w:rPr>
        <w:t>W</w:t>
      </w:r>
      <w:r>
        <w:rPr>
          <w:rFonts w:ascii="Garamond" w:hAnsi="Garamond"/>
          <w:sz w:val="24"/>
          <w:szCs w:val="24"/>
          <w:vertAlign w:val="subscript"/>
        </w:rPr>
        <w:t>2</w:t>
      </w:r>
      <w:r>
        <w:rPr>
          <w:rFonts w:ascii="Garamond" w:hAnsi="Garamond"/>
          <w:sz w:val="24"/>
          <w:szCs w:val="24"/>
        </w:rPr>
        <w:t xml:space="preserve"> from losing is:</w:t>
      </w:r>
    </w:p>
    <w:p w:rsidR="00600B13" w:rsidRDefault="00600B13" w:rsidP="00600B13">
      <w:pPr>
        <w:spacing w:line="480" w:lineRule="auto"/>
        <w:ind w:firstLine="720"/>
        <w:rPr>
          <w:rFonts w:ascii="Garamond" w:hAnsi="Garamond"/>
          <w:sz w:val="24"/>
          <w:szCs w:val="24"/>
        </w:rPr>
      </w:pPr>
      <w:r>
        <w:rPr>
          <w:rFonts w:ascii="Garamond" w:hAnsi="Garamond"/>
          <w:i/>
          <w:sz w:val="24"/>
          <w:szCs w:val="24"/>
        </w:rPr>
        <w:t>P</w:t>
      </w:r>
      <w:r>
        <w:rPr>
          <w:rFonts w:ascii="Garamond" w:hAnsi="Garamond"/>
          <w:sz w:val="24"/>
          <w:szCs w:val="24"/>
        </w:rPr>
        <w:t>[</w:t>
      </w:r>
      <w:r>
        <w:rPr>
          <w:rFonts w:ascii="Garamond" w:hAnsi="Garamond"/>
          <w:i/>
          <w:sz w:val="24"/>
          <w:szCs w:val="24"/>
        </w:rPr>
        <w:t>W</w:t>
      </w:r>
      <w:r>
        <w:rPr>
          <w:rFonts w:ascii="Garamond" w:hAnsi="Garamond"/>
          <w:sz w:val="24"/>
          <w:szCs w:val="24"/>
          <w:vertAlign w:val="subscript"/>
        </w:rPr>
        <w:t>1</w:t>
      </w:r>
      <w:r w:rsidR="001747AD">
        <w:rPr>
          <w:rFonts w:ascii="Garamond" w:hAnsi="Garamond"/>
          <w:sz w:val="24"/>
          <w:szCs w:val="24"/>
        </w:rPr>
        <w:t xml:space="preserve"> -</w:t>
      </w:r>
      <w:r w:rsidR="00002C52">
        <w:rPr>
          <w:rFonts w:ascii="Garamond" w:hAnsi="Garamond"/>
          <w:sz w:val="24"/>
          <w:szCs w:val="24"/>
        </w:rPr>
        <w:t xml:space="preserve"> </w:t>
      </w:r>
      <w:r w:rsidR="009F25F9">
        <w:rPr>
          <w:rFonts w:ascii="Garamond" w:hAnsi="Garamond"/>
          <w:i/>
          <w:sz w:val="24"/>
          <w:szCs w:val="24"/>
        </w:rPr>
        <w:t>C</w:t>
      </w:r>
      <w:r w:rsidR="009F25F9">
        <w:rPr>
          <w:rFonts w:ascii="Garamond" w:hAnsi="Garamond"/>
          <w:sz w:val="24"/>
          <w:szCs w:val="24"/>
        </w:rPr>
        <w:t>(</w:t>
      </w:r>
      <w:r w:rsidR="009F25F9">
        <w:rPr>
          <w:rFonts w:ascii="Garamond" w:hAnsi="Garamond"/>
          <w:i/>
          <w:sz w:val="24"/>
          <w:szCs w:val="24"/>
        </w:rPr>
        <w:t>μ</w:t>
      </w:r>
      <w:r w:rsidR="009F25F9">
        <w:rPr>
          <w:rFonts w:ascii="Garamond" w:hAnsi="Garamond"/>
          <w:sz w:val="24"/>
          <w:szCs w:val="24"/>
        </w:rPr>
        <w:t xml:space="preserve">)] + (1 – </w:t>
      </w:r>
      <w:r w:rsidR="009F25F9">
        <w:rPr>
          <w:rFonts w:ascii="Garamond" w:hAnsi="Garamond"/>
          <w:i/>
          <w:sz w:val="24"/>
          <w:szCs w:val="24"/>
        </w:rPr>
        <w:t>P</w:t>
      </w:r>
      <w:r w:rsidR="009F25F9">
        <w:rPr>
          <w:rFonts w:ascii="Garamond" w:hAnsi="Garamond"/>
          <w:sz w:val="24"/>
          <w:szCs w:val="24"/>
        </w:rPr>
        <w:t>)(</w:t>
      </w:r>
      <w:r w:rsidR="009F25F9">
        <w:rPr>
          <w:rFonts w:ascii="Garamond" w:hAnsi="Garamond"/>
          <w:i/>
          <w:sz w:val="24"/>
          <w:szCs w:val="24"/>
        </w:rPr>
        <w:t>W</w:t>
      </w:r>
      <w:r w:rsidR="009F25F9">
        <w:rPr>
          <w:rFonts w:ascii="Garamond" w:hAnsi="Garamond"/>
          <w:sz w:val="24"/>
          <w:szCs w:val="24"/>
          <w:vertAlign w:val="subscript"/>
        </w:rPr>
        <w:t>2</w:t>
      </w:r>
      <w:r w:rsidR="009F25F9">
        <w:rPr>
          <w:rFonts w:ascii="Garamond" w:hAnsi="Garamond"/>
          <w:sz w:val="24"/>
          <w:szCs w:val="24"/>
        </w:rPr>
        <w:t xml:space="preserve"> - </w:t>
      </w:r>
      <w:r w:rsidR="009F25F9">
        <w:rPr>
          <w:rFonts w:ascii="Garamond" w:hAnsi="Garamond"/>
          <w:i/>
          <w:sz w:val="24"/>
          <w:szCs w:val="24"/>
        </w:rPr>
        <w:t>C</w:t>
      </w:r>
      <w:r w:rsidR="009F25F9">
        <w:rPr>
          <w:rFonts w:ascii="Garamond" w:hAnsi="Garamond"/>
          <w:sz w:val="24"/>
          <w:szCs w:val="24"/>
        </w:rPr>
        <w:t>(</w:t>
      </w:r>
      <w:r w:rsidR="009F25F9">
        <w:rPr>
          <w:rFonts w:ascii="Garamond" w:hAnsi="Garamond"/>
          <w:i/>
          <w:sz w:val="24"/>
          <w:szCs w:val="24"/>
        </w:rPr>
        <w:t>μ</w:t>
      </w:r>
      <w:r w:rsidR="009F25F9">
        <w:rPr>
          <w:rFonts w:ascii="Garamond" w:hAnsi="Garamond"/>
          <w:sz w:val="24"/>
          <w:szCs w:val="24"/>
        </w:rPr>
        <w:t xml:space="preserve">)] = </w:t>
      </w:r>
      <w:r w:rsidR="009F25F9">
        <w:rPr>
          <w:rFonts w:ascii="Garamond" w:hAnsi="Garamond"/>
          <w:i/>
          <w:sz w:val="24"/>
          <w:szCs w:val="24"/>
        </w:rPr>
        <w:t>P</w:t>
      </w:r>
      <w:r w:rsidR="009F25F9">
        <w:rPr>
          <w:rFonts w:ascii="Garamond" w:hAnsi="Garamond"/>
          <w:sz w:val="24"/>
          <w:szCs w:val="24"/>
        </w:rPr>
        <w:t>(</w:t>
      </w:r>
      <w:r w:rsidR="009F25F9">
        <w:rPr>
          <w:rFonts w:ascii="Garamond" w:hAnsi="Garamond"/>
          <w:i/>
          <w:sz w:val="24"/>
          <w:szCs w:val="24"/>
        </w:rPr>
        <w:t>S</w:t>
      </w:r>
      <w:r w:rsidR="009F25F9">
        <w:rPr>
          <w:rFonts w:ascii="Garamond" w:hAnsi="Garamond"/>
          <w:sz w:val="24"/>
          <w:szCs w:val="24"/>
        </w:rPr>
        <w:t xml:space="preserve">) + </w:t>
      </w:r>
      <w:r w:rsidR="009F25F9">
        <w:rPr>
          <w:rFonts w:ascii="Garamond" w:hAnsi="Garamond"/>
          <w:i/>
          <w:sz w:val="24"/>
          <w:szCs w:val="24"/>
        </w:rPr>
        <w:t>W</w:t>
      </w:r>
      <w:r w:rsidR="009F25F9">
        <w:rPr>
          <w:rFonts w:ascii="Garamond" w:hAnsi="Garamond"/>
          <w:sz w:val="24"/>
          <w:szCs w:val="24"/>
          <w:vertAlign w:val="subscript"/>
        </w:rPr>
        <w:t>2</w:t>
      </w:r>
      <w:r w:rsidR="009F25F9">
        <w:rPr>
          <w:rFonts w:ascii="Garamond" w:hAnsi="Garamond"/>
          <w:sz w:val="24"/>
          <w:szCs w:val="24"/>
        </w:rPr>
        <w:t xml:space="preserve">  - </w:t>
      </w:r>
      <w:r w:rsidR="009F25F9">
        <w:rPr>
          <w:rFonts w:ascii="Garamond" w:hAnsi="Garamond"/>
          <w:i/>
          <w:sz w:val="24"/>
          <w:szCs w:val="24"/>
        </w:rPr>
        <w:t>C</w:t>
      </w:r>
      <w:r w:rsidR="009F25F9">
        <w:rPr>
          <w:rFonts w:ascii="Garamond" w:hAnsi="Garamond"/>
          <w:sz w:val="24"/>
          <w:szCs w:val="24"/>
        </w:rPr>
        <w:t>(</w:t>
      </w:r>
      <w:r w:rsidR="009F25F9">
        <w:rPr>
          <w:rFonts w:ascii="Garamond" w:hAnsi="Garamond"/>
          <w:i/>
          <w:sz w:val="24"/>
          <w:szCs w:val="24"/>
        </w:rPr>
        <w:t>μ</w:t>
      </w:r>
      <w:r w:rsidR="009F25F9">
        <w:rPr>
          <w:rFonts w:ascii="Garamond" w:hAnsi="Garamond"/>
          <w:sz w:val="24"/>
          <w:szCs w:val="24"/>
        </w:rPr>
        <w:t>)</w:t>
      </w:r>
    </w:p>
    <w:p w:rsidR="009F25F9" w:rsidRDefault="009F25F9" w:rsidP="007379BD">
      <w:pPr>
        <w:spacing w:line="480" w:lineRule="auto"/>
        <w:jc w:val="both"/>
        <w:rPr>
          <w:rFonts w:ascii="Garamond" w:hAnsi="Garamond"/>
          <w:sz w:val="24"/>
          <w:szCs w:val="24"/>
        </w:rPr>
      </w:pPr>
      <w:r>
        <w:rPr>
          <w:rFonts w:ascii="Garamond" w:hAnsi="Garamond"/>
          <w:sz w:val="24"/>
          <w:szCs w:val="24"/>
        </w:rPr>
        <w:t xml:space="preserve">where </w:t>
      </w:r>
      <w:r>
        <w:rPr>
          <w:rFonts w:ascii="Garamond" w:hAnsi="Garamond"/>
          <w:i/>
          <w:sz w:val="24"/>
          <w:szCs w:val="24"/>
        </w:rPr>
        <w:t xml:space="preserve">S </w:t>
      </w:r>
      <w:r>
        <w:rPr>
          <w:rFonts w:ascii="Garamond" w:hAnsi="Garamond"/>
          <w:sz w:val="24"/>
          <w:szCs w:val="24"/>
        </w:rPr>
        <w:t xml:space="preserve">is the prize spread,  </w:t>
      </w:r>
      <w:r>
        <w:rPr>
          <w:rFonts w:ascii="Garamond" w:hAnsi="Garamond"/>
          <w:i/>
          <w:sz w:val="24"/>
          <w:szCs w:val="24"/>
        </w:rPr>
        <w:t>W</w:t>
      </w:r>
      <w:r>
        <w:rPr>
          <w:rFonts w:ascii="Garamond" w:hAnsi="Garamond"/>
          <w:sz w:val="24"/>
          <w:szCs w:val="24"/>
          <w:vertAlign w:val="subscript"/>
        </w:rPr>
        <w:t>1</w:t>
      </w:r>
      <w:r>
        <w:rPr>
          <w:rFonts w:ascii="Garamond" w:hAnsi="Garamond"/>
          <w:sz w:val="24"/>
          <w:szCs w:val="24"/>
        </w:rPr>
        <w:t xml:space="preserve"> - </w:t>
      </w:r>
      <w:r>
        <w:rPr>
          <w:rFonts w:ascii="Garamond" w:hAnsi="Garamond"/>
          <w:i/>
          <w:sz w:val="24"/>
          <w:szCs w:val="24"/>
        </w:rPr>
        <w:t>W</w:t>
      </w:r>
      <w:r>
        <w:rPr>
          <w:rFonts w:ascii="Garamond" w:hAnsi="Garamond"/>
          <w:sz w:val="24"/>
          <w:szCs w:val="24"/>
          <w:vertAlign w:val="subscript"/>
        </w:rPr>
        <w:t>2</w:t>
      </w:r>
      <w:r>
        <w:rPr>
          <w:rFonts w:ascii="Garamond" w:hAnsi="Garamond"/>
          <w:sz w:val="24"/>
          <w:szCs w:val="24"/>
        </w:rPr>
        <w:t>. Note that this function assumes that each player has the same cost of effort (investment) function.</w:t>
      </w:r>
      <w:r w:rsidR="001E709D">
        <w:rPr>
          <w:rFonts w:ascii="Garamond" w:hAnsi="Garamond"/>
          <w:sz w:val="24"/>
          <w:szCs w:val="24"/>
        </w:rPr>
        <w:t xml:space="preserve"> Note also that the ability of contestants is uniform.</w:t>
      </w:r>
      <w:r>
        <w:rPr>
          <w:rFonts w:ascii="Garamond" w:hAnsi="Garamond"/>
          <w:sz w:val="24"/>
          <w:szCs w:val="24"/>
        </w:rPr>
        <w:t xml:space="preserve"> Our empirical analysis needs to relax</w:t>
      </w:r>
      <w:r w:rsidR="001E709D">
        <w:rPr>
          <w:rFonts w:ascii="Garamond" w:hAnsi="Garamond"/>
          <w:sz w:val="24"/>
          <w:szCs w:val="24"/>
        </w:rPr>
        <w:t xml:space="preserve"> both of these</w:t>
      </w:r>
      <w:r>
        <w:rPr>
          <w:rFonts w:ascii="Garamond" w:hAnsi="Garamond"/>
          <w:sz w:val="24"/>
          <w:szCs w:val="24"/>
        </w:rPr>
        <w:t xml:space="preserve"> assumption</w:t>
      </w:r>
      <w:r w:rsidR="001E709D">
        <w:rPr>
          <w:rFonts w:ascii="Garamond" w:hAnsi="Garamond"/>
          <w:sz w:val="24"/>
          <w:szCs w:val="24"/>
        </w:rPr>
        <w:t>s</w:t>
      </w:r>
      <w:r>
        <w:rPr>
          <w:rFonts w:ascii="Garamond" w:hAnsi="Garamond"/>
          <w:sz w:val="24"/>
          <w:szCs w:val="24"/>
        </w:rPr>
        <w:t xml:space="preserve">. Labelling the two contestants as </w:t>
      </w:r>
      <w:r>
        <w:rPr>
          <w:rFonts w:ascii="Garamond" w:hAnsi="Garamond"/>
          <w:i/>
          <w:sz w:val="24"/>
          <w:szCs w:val="24"/>
        </w:rPr>
        <w:t xml:space="preserve">j </w:t>
      </w:r>
      <w:r>
        <w:rPr>
          <w:rFonts w:ascii="Garamond" w:hAnsi="Garamond"/>
          <w:sz w:val="24"/>
          <w:szCs w:val="24"/>
        </w:rPr>
        <w:t xml:space="preserve">and </w:t>
      </w:r>
      <w:r>
        <w:rPr>
          <w:rFonts w:ascii="Garamond" w:hAnsi="Garamond"/>
          <w:i/>
          <w:sz w:val="24"/>
          <w:szCs w:val="24"/>
        </w:rPr>
        <w:t>k</w:t>
      </w:r>
      <w:r>
        <w:rPr>
          <w:rFonts w:ascii="Garamond" w:hAnsi="Garamond"/>
          <w:sz w:val="24"/>
          <w:szCs w:val="24"/>
        </w:rPr>
        <w:t xml:space="preserve">, the probability that </w:t>
      </w:r>
      <w:r>
        <w:rPr>
          <w:rFonts w:ascii="Garamond" w:hAnsi="Garamond"/>
          <w:i/>
          <w:sz w:val="24"/>
          <w:szCs w:val="24"/>
        </w:rPr>
        <w:t xml:space="preserve">j </w:t>
      </w:r>
      <w:r>
        <w:rPr>
          <w:rFonts w:ascii="Garamond" w:hAnsi="Garamond"/>
          <w:sz w:val="24"/>
          <w:szCs w:val="24"/>
        </w:rPr>
        <w:t>wins is:</w:t>
      </w:r>
    </w:p>
    <w:p w:rsidR="009F25F9" w:rsidRDefault="009F25F9" w:rsidP="009F25F9">
      <w:pPr>
        <w:spacing w:line="480" w:lineRule="auto"/>
        <w:rPr>
          <w:rFonts w:ascii="Garamond" w:hAnsi="Garamond"/>
          <w:sz w:val="24"/>
          <w:szCs w:val="24"/>
        </w:rPr>
      </w:pPr>
      <w:r>
        <w:rPr>
          <w:rFonts w:ascii="Garamond" w:hAnsi="Garamond"/>
          <w:i/>
          <w:sz w:val="24"/>
          <w:szCs w:val="24"/>
        </w:rPr>
        <w:t xml:space="preserve">P </w:t>
      </w:r>
      <w:r>
        <w:rPr>
          <w:rFonts w:ascii="Garamond" w:hAnsi="Garamond"/>
          <w:sz w:val="24"/>
          <w:szCs w:val="24"/>
        </w:rPr>
        <w:t>= Prob(</w:t>
      </w:r>
      <w:r w:rsidR="00540A52">
        <w:rPr>
          <w:rFonts w:ascii="Garamond" w:hAnsi="Garamond"/>
          <w:i/>
          <w:sz w:val="24"/>
          <w:szCs w:val="24"/>
        </w:rPr>
        <w:t>q</w:t>
      </w:r>
      <w:r w:rsidR="00540A52">
        <w:rPr>
          <w:rFonts w:ascii="Garamond" w:hAnsi="Garamond"/>
          <w:i/>
          <w:sz w:val="24"/>
          <w:szCs w:val="24"/>
          <w:vertAlign w:val="subscript"/>
        </w:rPr>
        <w:t>j</w:t>
      </w:r>
      <w:r w:rsidR="00540A52">
        <w:rPr>
          <w:rFonts w:ascii="Garamond" w:hAnsi="Garamond"/>
          <w:i/>
          <w:sz w:val="24"/>
          <w:szCs w:val="24"/>
        </w:rPr>
        <w:t xml:space="preserve"> </w:t>
      </w:r>
      <w:r w:rsidR="00540A52">
        <w:rPr>
          <w:rFonts w:ascii="Garamond" w:hAnsi="Garamond"/>
          <w:sz w:val="24"/>
          <w:szCs w:val="24"/>
        </w:rPr>
        <w:t xml:space="preserve">&gt; </w:t>
      </w:r>
      <w:r w:rsidR="00540A52">
        <w:rPr>
          <w:rFonts w:ascii="Garamond" w:hAnsi="Garamond"/>
          <w:i/>
          <w:sz w:val="24"/>
          <w:szCs w:val="24"/>
        </w:rPr>
        <w:t>q</w:t>
      </w:r>
      <w:r w:rsidR="00540A52">
        <w:rPr>
          <w:rFonts w:ascii="Garamond" w:hAnsi="Garamond"/>
          <w:i/>
          <w:sz w:val="24"/>
          <w:szCs w:val="24"/>
          <w:vertAlign w:val="subscript"/>
        </w:rPr>
        <w:t>k</w:t>
      </w:r>
      <w:r w:rsidR="00540A52">
        <w:rPr>
          <w:rFonts w:ascii="Garamond" w:hAnsi="Garamond"/>
          <w:sz w:val="24"/>
          <w:szCs w:val="24"/>
        </w:rPr>
        <w:t>) = prob(</w:t>
      </w:r>
      <w:r w:rsidR="00540A52">
        <w:rPr>
          <w:rFonts w:ascii="Garamond" w:hAnsi="Garamond"/>
          <w:i/>
          <w:sz w:val="24"/>
          <w:szCs w:val="24"/>
        </w:rPr>
        <w:t>μ</w:t>
      </w:r>
      <w:r w:rsidR="00540A52">
        <w:rPr>
          <w:rFonts w:ascii="Garamond" w:hAnsi="Garamond"/>
          <w:i/>
          <w:sz w:val="24"/>
          <w:szCs w:val="24"/>
          <w:vertAlign w:val="subscript"/>
        </w:rPr>
        <w:t>j</w:t>
      </w:r>
      <w:r w:rsidR="00540A52">
        <w:rPr>
          <w:rFonts w:ascii="Garamond" w:hAnsi="Garamond"/>
          <w:sz w:val="24"/>
          <w:szCs w:val="24"/>
        </w:rPr>
        <w:t xml:space="preserve"> – </w:t>
      </w:r>
      <w:r w:rsidR="00540A52">
        <w:rPr>
          <w:rFonts w:ascii="Garamond" w:hAnsi="Garamond"/>
          <w:i/>
          <w:sz w:val="24"/>
          <w:szCs w:val="24"/>
        </w:rPr>
        <w:t>μ</w:t>
      </w:r>
      <w:r w:rsidR="00540A52">
        <w:rPr>
          <w:rFonts w:ascii="Garamond" w:hAnsi="Garamond"/>
          <w:i/>
          <w:sz w:val="24"/>
          <w:szCs w:val="24"/>
          <w:vertAlign w:val="subscript"/>
        </w:rPr>
        <w:t>k</w:t>
      </w:r>
      <w:r w:rsidR="00540A52">
        <w:rPr>
          <w:rFonts w:ascii="Garamond" w:hAnsi="Garamond"/>
          <w:sz w:val="24"/>
          <w:szCs w:val="24"/>
        </w:rPr>
        <w:t xml:space="preserve"> &lt; </w:t>
      </w:r>
      <w:r w:rsidR="00540A52">
        <w:rPr>
          <w:rFonts w:ascii="Garamond" w:hAnsi="Garamond"/>
          <w:i/>
          <w:sz w:val="24"/>
          <w:szCs w:val="24"/>
        </w:rPr>
        <w:t>ε</w:t>
      </w:r>
      <w:r w:rsidR="00540A52">
        <w:rPr>
          <w:rFonts w:ascii="Garamond" w:hAnsi="Garamond"/>
          <w:i/>
          <w:sz w:val="24"/>
          <w:szCs w:val="24"/>
          <w:vertAlign w:val="subscript"/>
        </w:rPr>
        <w:t>j</w:t>
      </w:r>
      <w:r w:rsidR="00540A52">
        <w:rPr>
          <w:rFonts w:ascii="Garamond" w:hAnsi="Garamond"/>
          <w:sz w:val="24"/>
          <w:szCs w:val="24"/>
        </w:rPr>
        <w:t xml:space="preserve"> – </w:t>
      </w:r>
      <w:r w:rsidR="00540A52">
        <w:rPr>
          <w:rFonts w:ascii="Garamond" w:hAnsi="Garamond"/>
          <w:i/>
          <w:sz w:val="24"/>
          <w:szCs w:val="24"/>
        </w:rPr>
        <w:t>ε</w:t>
      </w:r>
      <w:r w:rsidR="00540A52">
        <w:rPr>
          <w:rFonts w:ascii="Garamond" w:hAnsi="Garamond"/>
          <w:i/>
          <w:sz w:val="24"/>
          <w:szCs w:val="24"/>
          <w:vertAlign w:val="subscript"/>
        </w:rPr>
        <w:t>k</w:t>
      </w:r>
      <w:r w:rsidR="00540A52">
        <w:rPr>
          <w:rFonts w:ascii="Garamond" w:hAnsi="Garamond"/>
          <w:sz w:val="24"/>
          <w:szCs w:val="24"/>
        </w:rPr>
        <w:t>)</w:t>
      </w:r>
    </w:p>
    <w:p w:rsidR="00540A52" w:rsidRDefault="00540A52" w:rsidP="009F25F9">
      <w:pPr>
        <w:spacing w:line="480" w:lineRule="auto"/>
        <w:rPr>
          <w:rFonts w:ascii="Garamond" w:hAnsi="Garamond"/>
          <w:sz w:val="24"/>
          <w:szCs w:val="24"/>
        </w:rPr>
      </w:pPr>
      <w:r>
        <w:rPr>
          <w:rFonts w:ascii="Garamond" w:hAnsi="Garamond"/>
          <w:sz w:val="24"/>
          <w:szCs w:val="24"/>
        </w:rPr>
        <w:t xml:space="preserve">The first order and second order conditions for a maximum chosen over </w:t>
      </w:r>
      <w:r>
        <w:rPr>
          <w:rFonts w:ascii="Garamond" w:hAnsi="Garamond"/>
          <w:i/>
          <w:sz w:val="24"/>
          <w:szCs w:val="24"/>
        </w:rPr>
        <w:t>μ</w:t>
      </w:r>
      <w:r>
        <w:rPr>
          <w:rFonts w:ascii="Garamond" w:hAnsi="Garamond"/>
          <w:sz w:val="24"/>
          <w:szCs w:val="24"/>
        </w:rPr>
        <w:t xml:space="preserve"> for agent </w:t>
      </w:r>
      <w:r>
        <w:rPr>
          <w:rFonts w:ascii="Garamond" w:hAnsi="Garamond"/>
          <w:i/>
          <w:sz w:val="24"/>
          <w:szCs w:val="24"/>
        </w:rPr>
        <w:t xml:space="preserve">i </w:t>
      </w:r>
      <w:r>
        <w:rPr>
          <w:rFonts w:ascii="Garamond" w:hAnsi="Garamond"/>
          <w:sz w:val="24"/>
          <w:szCs w:val="24"/>
        </w:rPr>
        <w:t>are:</w:t>
      </w:r>
    </w:p>
    <w:p w:rsidR="00540A52" w:rsidRDefault="00540A52" w:rsidP="009F25F9">
      <w:pPr>
        <w:spacing w:line="480" w:lineRule="auto"/>
        <w:rPr>
          <w:rFonts w:ascii="Garamond" w:hAnsi="Garamond"/>
          <w:sz w:val="24"/>
          <w:szCs w:val="24"/>
        </w:rPr>
      </w:pPr>
      <w:r>
        <w:rPr>
          <w:rFonts w:ascii="Garamond" w:hAnsi="Garamond"/>
          <w:i/>
          <w:sz w:val="24"/>
          <w:szCs w:val="24"/>
        </w:rPr>
        <w:t>∂P</w:t>
      </w:r>
      <w:r>
        <w:rPr>
          <w:rFonts w:ascii="Garamond" w:hAnsi="Garamond"/>
          <w:sz w:val="24"/>
          <w:szCs w:val="24"/>
        </w:rPr>
        <w:t>/</w:t>
      </w:r>
      <w:r>
        <w:rPr>
          <w:rFonts w:ascii="Garamond" w:hAnsi="Garamond"/>
          <w:i/>
          <w:sz w:val="24"/>
          <w:szCs w:val="24"/>
        </w:rPr>
        <w:t>∂μ</w:t>
      </w:r>
      <w:r>
        <w:rPr>
          <w:rFonts w:ascii="Garamond" w:hAnsi="Garamond"/>
          <w:sz w:val="24"/>
          <w:szCs w:val="24"/>
          <w:vertAlign w:val="subscript"/>
        </w:rPr>
        <w:t>i</w:t>
      </w:r>
      <w:r>
        <w:rPr>
          <w:rFonts w:ascii="Garamond" w:hAnsi="Garamond"/>
          <w:sz w:val="24"/>
          <w:szCs w:val="24"/>
        </w:rPr>
        <w:t>(</w:t>
      </w:r>
      <w:r>
        <w:rPr>
          <w:rFonts w:ascii="Garamond" w:hAnsi="Garamond"/>
          <w:i/>
          <w:sz w:val="24"/>
          <w:szCs w:val="24"/>
        </w:rPr>
        <w:t>S</w:t>
      </w:r>
      <w:r>
        <w:rPr>
          <w:rFonts w:ascii="Garamond" w:hAnsi="Garamond"/>
          <w:sz w:val="24"/>
          <w:szCs w:val="24"/>
        </w:rPr>
        <w:t xml:space="preserve">) - </w:t>
      </w:r>
      <w:r>
        <w:rPr>
          <w:rFonts w:ascii="Garamond" w:hAnsi="Garamond"/>
          <w:i/>
          <w:sz w:val="24"/>
          <w:szCs w:val="24"/>
        </w:rPr>
        <w:t>C′</w:t>
      </w:r>
      <w:r>
        <w:rPr>
          <w:rFonts w:ascii="Garamond" w:hAnsi="Garamond"/>
          <w:sz w:val="24"/>
          <w:szCs w:val="24"/>
        </w:rPr>
        <w:t>(</w:t>
      </w:r>
      <w:r>
        <w:rPr>
          <w:rFonts w:ascii="Garamond" w:hAnsi="Garamond"/>
          <w:i/>
          <w:sz w:val="24"/>
          <w:szCs w:val="24"/>
        </w:rPr>
        <w:t>μ</w:t>
      </w:r>
      <w:r>
        <w:rPr>
          <w:rFonts w:ascii="Garamond" w:hAnsi="Garamond"/>
          <w:i/>
          <w:sz w:val="24"/>
          <w:szCs w:val="24"/>
          <w:vertAlign w:val="subscript"/>
        </w:rPr>
        <w:t>i</w:t>
      </w:r>
      <w:r>
        <w:rPr>
          <w:rFonts w:ascii="Garamond" w:hAnsi="Garamond"/>
          <w:sz w:val="24"/>
          <w:szCs w:val="24"/>
        </w:rPr>
        <w:t>) = 0</w:t>
      </w:r>
    </w:p>
    <w:p w:rsidR="00540A52" w:rsidRDefault="00540A52" w:rsidP="00540A52">
      <w:pPr>
        <w:spacing w:line="480" w:lineRule="auto"/>
        <w:rPr>
          <w:rFonts w:ascii="Garamond" w:hAnsi="Garamond"/>
          <w:sz w:val="24"/>
          <w:szCs w:val="24"/>
        </w:rPr>
      </w:pPr>
      <w:r>
        <w:rPr>
          <w:rFonts w:ascii="Garamond" w:hAnsi="Garamond"/>
          <w:i/>
          <w:sz w:val="24"/>
          <w:szCs w:val="24"/>
        </w:rPr>
        <w:t>∂</w:t>
      </w:r>
      <w:r>
        <w:rPr>
          <w:rFonts w:ascii="Garamond" w:hAnsi="Garamond"/>
          <w:sz w:val="24"/>
          <w:szCs w:val="24"/>
          <w:vertAlign w:val="superscript"/>
        </w:rPr>
        <w:t>2</w:t>
      </w:r>
      <w:r>
        <w:rPr>
          <w:rFonts w:ascii="Garamond" w:hAnsi="Garamond"/>
          <w:i/>
          <w:sz w:val="24"/>
          <w:szCs w:val="24"/>
        </w:rPr>
        <w:t>P</w:t>
      </w:r>
      <w:r>
        <w:rPr>
          <w:rFonts w:ascii="Garamond" w:hAnsi="Garamond"/>
          <w:sz w:val="24"/>
          <w:szCs w:val="24"/>
        </w:rPr>
        <w:t>/</w:t>
      </w:r>
      <w:r>
        <w:rPr>
          <w:rFonts w:ascii="Garamond" w:hAnsi="Garamond"/>
          <w:i/>
          <w:sz w:val="24"/>
          <w:szCs w:val="24"/>
        </w:rPr>
        <w:t>∂μ</w:t>
      </w:r>
      <w:r>
        <w:rPr>
          <w:rFonts w:ascii="Garamond" w:hAnsi="Garamond"/>
          <w:sz w:val="24"/>
          <w:szCs w:val="24"/>
          <w:vertAlign w:val="subscript"/>
        </w:rPr>
        <w:t xml:space="preserve">i </w:t>
      </w:r>
      <w:r>
        <w:rPr>
          <w:rFonts w:ascii="Garamond" w:hAnsi="Garamond"/>
          <w:sz w:val="24"/>
          <w:szCs w:val="24"/>
          <w:vertAlign w:val="superscript"/>
        </w:rPr>
        <w:t>2</w:t>
      </w:r>
      <w:r>
        <w:rPr>
          <w:rFonts w:ascii="Garamond" w:hAnsi="Garamond"/>
          <w:sz w:val="24"/>
          <w:szCs w:val="24"/>
        </w:rPr>
        <w:t>(</w:t>
      </w:r>
      <w:r>
        <w:rPr>
          <w:rFonts w:ascii="Garamond" w:hAnsi="Garamond"/>
          <w:i/>
          <w:sz w:val="24"/>
          <w:szCs w:val="24"/>
        </w:rPr>
        <w:t>S</w:t>
      </w:r>
      <w:r>
        <w:rPr>
          <w:rFonts w:ascii="Garamond" w:hAnsi="Garamond"/>
          <w:sz w:val="24"/>
          <w:szCs w:val="24"/>
        </w:rPr>
        <w:t xml:space="preserve">) - </w:t>
      </w:r>
      <w:r>
        <w:rPr>
          <w:rFonts w:ascii="Garamond" w:hAnsi="Garamond"/>
          <w:i/>
          <w:sz w:val="24"/>
          <w:szCs w:val="24"/>
        </w:rPr>
        <w:t>C″</w:t>
      </w:r>
      <w:r>
        <w:rPr>
          <w:rFonts w:ascii="Garamond" w:hAnsi="Garamond"/>
          <w:sz w:val="24"/>
          <w:szCs w:val="24"/>
        </w:rPr>
        <w:t>(</w:t>
      </w:r>
      <w:r>
        <w:rPr>
          <w:rFonts w:ascii="Garamond" w:hAnsi="Garamond"/>
          <w:i/>
          <w:sz w:val="24"/>
          <w:szCs w:val="24"/>
        </w:rPr>
        <w:t>μ</w:t>
      </w:r>
      <w:r>
        <w:rPr>
          <w:rFonts w:ascii="Garamond" w:hAnsi="Garamond"/>
          <w:i/>
          <w:sz w:val="24"/>
          <w:szCs w:val="24"/>
          <w:vertAlign w:val="subscript"/>
        </w:rPr>
        <w:t>i</w:t>
      </w:r>
      <w:r>
        <w:rPr>
          <w:rFonts w:ascii="Garamond" w:hAnsi="Garamond"/>
          <w:sz w:val="24"/>
          <w:szCs w:val="24"/>
        </w:rPr>
        <w:t>) = 0</w:t>
      </w:r>
    </w:p>
    <w:p w:rsidR="00EA47A5" w:rsidRDefault="00540A52" w:rsidP="007379BD">
      <w:pPr>
        <w:spacing w:line="480" w:lineRule="auto"/>
        <w:jc w:val="both"/>
        <w:rPr>
          <w:rFonts w:ascii="Garamond" w:hAnsi="Garamond"/>
          <w:sz w:val="24"/>
          <w:szCs w:val="24"/>
        </w:rPr>
      </w:pPr>
      <w:r>
        <w:rPr>
          <w:rFonts w:ascii="Garamond" w:hAnsi="Garamond"/>
          <w:sz w:val="24"/>
          <w:szCs w:val="24"/>
        </w:rPr>
        <w:t>Hence optimal contestant effort or investment is determined by how the change in effort or investment influences the probability of winning the tournament</w:t>
      </w:r>
      <w:r w:rsidR="00EA47A5">
        <w:rPr>
          <w:rFonts w:ascii="Garamond" w:hAnsi="Garamond"/>
          <w:sz w:val="24"/>
          <w:szCs w:val="24"/>
        </w:rPr>
        <w:t>. The effort or investment level is also a decreasing function of marginal cost of effort</w:t>
      </w:r>
      <w:r w:rsidR="00606BE5">
        <w:rPr>
          <w:rFonts w:ascii="Garamond" w:hAnsi="Garamond"/>
          <w:sz w:val="24"/>
          <w:szCs w:val="24"/>
        </w:rPr>
        <w:t xml:space="preserve"> </w:t>
      </w:r>
      <w:r w:rsidR="00EA47A5">
        <w:rPr>
          <w:rFonts w:ascii="Garamond" w:hAnsi="Garamond"/>
          <w:sz w:val="24"/>
          <w:szCs w:val="24"/>
        </w:rPr>
        <w:t xml:space="preserve">(investment). Two testable propositions follow from this simple theory. First, an increase in prize spread leads to increased effort (investment). Second, only differences in prize (the prize spread </w:t>
      </w:r>
      <w:r w:rsidR="00EA47A5">
        <w:rPr>
          <w:rFonts w:ascii="Garamond" w:hAnsi="Garamond"/>
          <w:i/>
          <w:sz w:val="24"/>
          <w:szCs w:val="24"/>
        </w:rPr>
        <w:t>S</w:t>
      </w:r>
      <w:r w:rsidR="00EA47A5">
        <w:rPr>
          <w:rFonts w:ascii="Garamond" w:hAnsi="Garamond"/>
          <w:sz w:val="24"/>
          <w:szCs w:val="24"/>
        </w:rPr>
        <w:t xml:space="preserve">) matter for choice of effort or investment; the absolute size of win value plays no role.  </w:t>
      </w:r>
    </w:p>
    <w:p w:rsidR="00540A52" w:rsidRPr="00540A52" w:rsidRDefault="008005ED" w:rsidP="007379BD">
      <w:pPr>
        <w:spacing w:line="480" w:lineRule="auto"/>
        <w:jc w:val="both"/>
        <w:rPr>
          <w:rFonts w:ascii="Garamond" w:hAnsi="Garamond"/>
          <w:sz w:val="24"/>
          <w:szCs w:val="24"/>
        </w:rPr>
      </w:pPr>
      <w:r>
        <w:rPr>
          <w:rFonts w:ascii="Garamond" w:hAnsi="Garamond"/>
          <w:sz w:val="24"/>
          <w:szCs w:val="24"/>
        </w:rPr>
        <w:tab/>
        <w:t>McLaughlin (1988) extended</w:t>
      </w:r>
      <w:r w:rsidR="00EA47A5">
        <w:rPr>
          <w:rFonts w:ascii="Garamond" w:hAnsi="Garamond"/>
          <w:sz w:val="24"/>
          <w:szCs w:val="24"/>
        </w:rPr>
        <w:t xml:space="preserve"> the two player model above to n players. Other things equal, the probability of winning for a given participant is reduced as the number of players rises. It is not clear in this extension that the optimal prize spread will increase as the tournament size </w:t>
      </w:r>
      <w:r w:rsidR="00EA47A5">
        <w:rPr>
          <w:rFonts w:ascii="Garamond" w:hAnsi="Garamond"/>
          <w:sz w:val="24"/>
          <w:szCs w:val="24"/>
        </w:rPr>
        <w:lastRenderedPageBreak/>
        <w:t>rises. It is also unclear whether agents’ efforts will remain constant as tournament size increases. This is germane to our application. The effect of one’s own effort on the probability of winning is diluted by a greater tournament size</w:t>
      </w:r>
      <w:r w:rsidR="001E709D">
        <w:rPr>
          <w:rFonts w:ascii="Garamond" w:hAnsi="Garamond"/>
          <w:sz w:val="24"/>
          <w:szCs w:val="24"/>
        </w:rPr>
        <w:t xml:space="preserve"> and to induce optimal incentives the prize spread should increase with tournament size.</w:t>
      </w:r>
      <w:r w:rsidR="002F0529">
        <w:rPr>
          <w:rFonts w:ascii="Garamond" w:hAnsi="Garamond"/>
          <w:sz w:val="24"/>
          <w:szCs w:val="24"/>
        </w:rPr>
        <w:t xml:space="preserve"> Alternatively, if a contestant perceives that there is an increased effect of extra effort on the chance of winning then that should induce greater motivation and increased effort or investment.</w:t>
      </w:r>
    </w:p>
    <w:p w:rsidR="00EC7AA6" w:rsidRDefault="00EC7AA6" w:rsidP="007379BD">
      <w:pPr>
        <w:spacing w:line="480" w:lineRule="auto"/>
        <w:ind w:firstLine="720"/>
        <w:jc w:val="both"/>
        <w:rPr>
          <w:rFonts w:ascii="Garamond" w:hAnsi="Garamond"/>
          <w:sz w:val="24"/>
          <w:szCs w:val="24"/>
        </w:rPr>
      </w:pPr>
      <w:r w:rsidRPr="00295F90">
        <w:rPr>
          <w:rFonts w:ascii="Garamond" w:hAnsi="Garamond"/>
          <w:sz w:val="24"/>
          <w:szCs w:val="24"/>
        </w:rPr>
        <w:t>Among the theoretical features of tournaments, agent's effort should be positively related to the size of the winner's prize, yet the probability of winning tha</w:t>
      </w:r>
      <w:r w:rsidR="00740E8F">
        <w:rPr>
          <w:rFonts w:ascii="Garamond" w:hAnsi="Garamond"/>
          <w:sz w:val="24"/>
          <w:szCs w:val="24"/>
        </w:rPr>
        <w:t xml:space="preserve">t prize </w:t>
      </w:r>
      <w:r>
        <w:rPr>
          <w:rFonts w:ascii="Garamond" w:hAnsi="Garamond"/>
          <w:sz w:val="24"/>
          <w:szCs w:val="24"/>
        </w:rPr>
        <w:t>has an ambiguous effect on effort (Lazear and Rosen, 1981)</w:t>
      </w:r>
      <w:r w:rsidRPr="00295F90">
        <w:rPr>
          <w:rFonts w:ascii="Garamond" w:hAnsi="Garamond"/>
          <w:sz w:val="24"/>
          <w:szCs w:val="24"/>
        </w:rPr>
        <w:t>. The first result has been tested empirically in the fie</w:t>
      </w:r>
      <w:r w:rsidR="002807B0">
        <w:rPr>
          <w:rFonts w:ascii="Garamond" w:hAnsi="Garamond"/>
          <w:sz w:val="24"/>
          <w:szCs w:val="24"/>
        </w:rPr>
        <w:t xml:space="preserve">ld, for example by </w:t>
      </w:r>
      <w:r w:rsidRPr="00295F90">
        <w:rPr>
          <w:rFonts w:ascii="Garamond" w:hAnsi="Garamond"/>
          <w:sz w:val="24"/>
          <w:szCs w:val="24"/>
        </w:rPr>
        <w:t>Erhenberg</w:t>
      </w:r>
      <w:r w:rsidR="002807B0">
        <w:rPr>
          <w:rFonts w:ascii="Garamond" w:hAnsi="Garamond"/>
          <w:sz w:val="24"/>
          <w:szCs w:val="24"/>
        </w:rPr>
        <w:t xml:space="preserve"> and Bognanno (1990</w:t>
      </w:r>
      <w:r w:rsidRPr="00295F90">
        <w:rPr>
          <w:rFonts w:ascii="Garamond" w:hAnsi="Garamond"/>
          <w:sz w:val="24"/>
          <w:szCs w:val="24"/>
        </w:rPr>
        <w:t>) using the PGA tournament. The second result, how a change in the probability of winning the tournament affects outcome remains unexplored in the field, although has been tested empir</w:t>
      </w:r>
      <w:r>
        <w:rPr>
          <w:rFonts w:ascii="Garamond" w:hAnsi="Garamond"/>
          <w:sz w:val="24"/>
          <w:szCs w:val="24"/>
        </w:rPr>
        <w:t>ically in controlled</w:t>
      </w:r>
      <w:r w:rsidR="009E2768">
        <w:rPr>
          <w:rFonts w:ascii="Garamond" w:hAnsi="Garamond"/>
          <w:sz w:val="24"/>
          <w:szCs w:val="24"/>
        </w:rPr>
        <w:t xml:space="preserve"> classroom experiments. Schotter</w:t>
      </w:r>
      <w:r>
        <w:rPr>
          <w:rFonts w:ascii="Garamond" w:hAnsi="Garamond"/>
          <w:sz w:val="24"/>
          <w:szCs w:val="24"/>
        </w:rPr>
        <w:t xml:space="preserve"> and Weigelt (1992</w:t>
      </w:r>
      <w:r w:rsidRPr="00295F90">
        <w:rPr>
          <w:rFonts w:ascii="Garamond" w:hAnsi="Garamond"/>
          <w:sz w:val="24"/>
          <w:szCs w:val="24"/>
        </w:rPr>
        <w:t xml:space="preserve">) test how agent heterogeneity </w:t>
      </w:r>
      <w:r>
        <w:rPr>
          <w:rFonts w:ascii="Garamond" w:hAnsi="Garamond"/>
          <w:sz w:val="24"/>
          <w:szCs w:val="24"/>
        </w:rPr>
        <w:t>and affirmative action determines</w:t>
      </w:r>
      <w:r w:rsidRPr="00295F90">
        <w:rPr>
          <w:rFonts w:ascii="Garamond" w:hAnsi="Garamond"/>
          <w:sz w:val="24"/>
          <w:szCs w:val="24"/>
        </w:rPr>
        <w:t xml:space="preserve"> effort, and their results show that when heterogeneity is small, effort increases by the disadvantaged players, yet they also show that when heterogeneity is large, effort by the disadvantage</w:t>
      </w:r>
      <w:r>
        <w:rPr>
          <w:rFonts w:ascii="Garamond" w:hAnsi="Garamond"/>
          <w:sz w:val="24"/>
          <w:szCs w:val="24"/>
        </w:rPr>
        <w:t>d</w:t>
      </w:r>
      <w:r w:rsidRPr="00295F90">
        <w:rPr>
          <w:rFonts w:ascii="Garamond" w:hAnsi="Garamond"/>
          <w:sz w:val="24"/>
          <w:szCs w:val="24"/>
        </w:rPr>
        <w:t xml:space="preserve"> players decrease</w:t>
      </w:r>
      <w:r>
        <w:rPr>
          <w:rFonts w:ascii="Garamond" w:hAnsi="Garamond"/>
          <w:sz w:val="24"/>
          <w:szCs w:val="24"/>
        </w:rPr>
        <w:t>.</w:t>
      </w:r>
      <w:r w:rsidRPr="00295F90">
        <w:rPr>
          <w:rFonts w:ascii="Garamond" w:hAnsi="Garamond"/>
          <w:sz w:val="24"/>
          <w:szCs w:val="24"/>
        </w:rPr>
        <w:t xml:space="preserve"> </w:t>
      </w:r>
    </w:p>
    <w:p w:rsidR="00EC7AA6" w:rsidRDefault="00F8252E" w:rsidP="007379BD">
      <w:pPr>
        <w:spacing w:line="480" w:lineRule="auto"/>
        <w:ind w:firstLine="720"/>
        <w:jc w:val="both"/>
        <w:rPr>
          <w:rFonts w:ascii="Garamond" w:hAnsi="Garamond"/>
          <w:sz w:val="24"/>
          <w:szCs w:val="24"/>
        </w:rPr>
      </w:pPr>
      <w:r>
        <w:rPr>
          <w:rFonts w:ascii="Garamond" w:hAnsi="Garamond"/>
          <w:sz w:val="24"/>
          <w:szCs w:val="24"/>
        </w:rPr>
        <w:t>Similar to</w:t>
      </w:r>
      <w:r w:rsidR="009E2768">
        <w:rPr>
          <w:rFonts w:ascii="Garamond" w:hAnsi="Garamond"/>
          <w:sz w:val="24"/>
          <w:szCs w:val="24"/>
        </w:rPr>
        <w:t xml:space="preserve"> Schotter and Weigelt</w:t>
      </w:r>
      <w:r w:rsidR="00EC7AA6">
        <w:rPr>
          <w:rFonts w:ascii="Garamond" w:hAnsi="Garamond"/>
          <w:sz w:val="24"/>
          <w:szCs w:val="24"/>
        </w:rPr>
        <w:t xml:space="preserve">’s (1992) asymmetric tournament </w:t>
      </w:r>
      <w:r>
        <w:rPr>
          <w:rFonts w:ascii="Garamond" w:hAnsi="Garamond"/>
          <w:sz w:val="24"/>
          <w:szCs w:val="24"/>
        </w:rPr>
        <w:t>above, an important feature of the Champions League</w:t>
      </w:r>
      <w:r w:rsidR="00EC7AA6">
        <w:rPr>
          <w:rFonts w:ascii="Garamond" w:hAnsi="Garamond"/>
          <w:sz w:val="24"/>
          <w:szCs w:val="24"/>
        </w:rPr>
        <w:t xml:space="preserve"> tournament is that a change in a t</w:t>
      </w:r>
      <w:r>
        <w:rPr>
          <w:rFonts w:ascii="Garamond" w:hAnsi="Garamond"/>
          <w:sz w:val="24"/>
          <w:szCs w:val="24"/>
        </w:rPr>
        <w:t xml:space="preserve">eam’s </w:t>
      </w:r>
      <w:r w:rsidR="00EC7AA6">
        <w:rPr>
          <w:rFonts w:ascii="Garamond" w:hAnsi="Garamond"/>
          <w:sz w:val="24"/>
          <w:szCs w:val="24"/>
        </w:rPr>
        <w:t>probability of qualification should have a greater effect on the incentives of those agents whose marginal return fro</w:t>
      </w:r>
      <w:r>
        <w:rPr>
          <w:rFonts w:ascii="Garamond" w:hAnsi="Garamond"/>
          <w:sz w:val="24"/>
          <w:szCs w:val="24"/>
        </w:rPr>
        <w:t>m increasing payroll is highest</w:t>
      </w:r>
      <w:r w:rsidR="00EC7AA6">
        <w:rPr>
          <w:rFonts w:ascii="Garamond" w:hAnsi="Garamond"/>
          <w:sz w:val="24"/>
          <w:szCs w:val="24"/>
        </w:rPr>
        <w:t>. The teams that normally finish at the top of the domestic league table, and those near the bottom, have little marginal benefit from raising their effort as the number of Champions’ League places changes. Indeed, teams that marginally q</w:t>
      </w:r>
      <w:r>
        <w:rPr>
          <w:rFonts w:ascii="Garamond" w:hAnsi="Garamond"/>
          <w:sz w:val="24"/>
          <w:szCs w:val="24"/>
        </w:rPr>
        <w:t>ualified or failed to qualify for</w:t>
      </w:r>
      <w:r w:rsidR="00EC7AA6">
        <w:rPr>
          <w:rFonts w:ascii="Garamond" w:hAnsi="Garamond"/>
          <w:sz w:val="24"/>
          <w:szCs w:val="24"/>
        </w:rPr>
        <w:t xml:space="preserve"> the competition should vary their spending by the largest amount as the number of Champions League</w:t>
      </w:r>
      <w:r>
        <w:rPr>
          <w:rFonts w:ascii="Garamond" w:hAnsi="Garamond"/>
          <w:sz w:val="24"/>
          <w:szCs w:val="24"/>
        </w:rPr>
        <w:t xml:space="preserve"> places increases.  Importantly for</w:t>
      </w:r>
      <w:r w:rsidR="00EC7AA6">
        <w:rPr>
          <w:rFonts w:ascii="Garamond" w:hAnsi="Garamond"/>
          <w:sz w:val="24"/>
          <w:szCs w:val="24"/>
        </w:rPr>
        <w:t xml:space="preserve"> our empirical design, the number of teams from each national League that qualifies into the Champions League is determined by the UEFA Coefficient, which is in turn c</w:t>
      </w:r>
      <w:r>
        <w:rPr>
          <w:rFonts w:ascii="Garamond" w:hAnsi="Garamond"/>
          <w:sz w:val="24"/>
          <w:szCs w:val="24"/>
        </w:rPr>
        <w:t xml:space="preserve">alculated based on </w:t>
      </w:r>
      <w:r w:rsidR="00EC7AA6">
        <w:rPr>
          <w:rFonts w:ascii="Garamond" w:hAnsi="Garamond"/>
          <w:sz w:val="24"/>
          <w:szCs w:val="24"/>
        </w:rPr>
        <w:t xml:space="preserve">previous Champions </w:t>
      </w:r>
      <w:r w:rsidR="00EC7AA6">
        <w:rPr>
          <w:rFonts w:ascii="Garamond" w:hAnsi="Garamond"/>
          <w:sz w:val="24"/>
          <w:szCs w:val="24"/>
        </w:rPr>
        <w:lastRenderedPageBreak/>
        <w:t>League performances</w:t>
      </w:r>
      <w:r>
        <w:rPr>
          <w:rFonts w:ascii="Garamond" w:hAnsi="Garamond"/>
          <w:sz w:val="24"/>
          <w:szCs w:val="24"/>
        </w:rPr>
        <w:t xml:space="preserve"> of other teams in a given League</w:t>
      </w:r>
      <w:r w:rsidR="00EC7AA6">
        <w:rPr>
          <w:rFonts w:ascii="Garamond" w:hAnsi="Garamond"/>
          <w:sz w:val="24"/>
          <w:szCs w:val="24"/>
        </w:rPr>
        <w:t>. This coefficient is time varying, but orthogonal to current season investment in the playing squad. In the case of Italy for example, the number of qualifying teams varied during the last ten years between three and four.</w:t>
      </w:r>
      <w:r>
        <w:rPr>
          <w:rFonts w:ascii="Garamond" w:hAnsi="Garamond"/>
          <w:sz w:val="24"/>
          <w:szCs w:val="24"/>
        </w:rPr>
        <w:t xml:space="preserve"> A greater number of slots implies</w:t>
      </w:r>
      <w:r w:rsidR="00EC7AA6">
        <w:rPr>
          <w:rFonts w:ascii="Garamond" w:hAnsi="Garamond"/>
          <w:sz w:val="24"/>
          <w:szCs w:val="24"/>
        </w:rPr>
        <w:t xml:space="preserve"> a higher probability of qualification. Again, our empirical prediction is</w:t>
      </w:r>
      <w:r>
        <w:rPr>
          <w:rFonts w:ascii="Garamond" w:hAnsi="Garamond"/>
          <w:sz w:val="24"/>
          <w:szCs w:val="24"/>
        </w:rPr>
        <w:t xml:space="preserve"> </w:t>
      </w:r>
      <w:r w:rsidR="00EC7AA6">
        <w:rPr>
          <w:rFonts w:ascii="Garamond" w:hAnsi="Garamond"/>
          <w:sz w:val="24"/>
          <w:szCs w:val="24"/>
        </w:rPr>
        <w:t xml:space="preserve">that changes in the number of available slots will mostly affect those teams effectively competing for third to fifth places in the domestic League. </w:t>
      </w:r>
    </w:p>
    <w:p w:rsidR="00942BFE" w:rsidRPr="00032822" w:rsidRDefault="00942BFE" w:rsidP="00032822">
      <w:pPr>
        <w:pStyle w:val="ListParagraph"/>
        <w:numPr>
          <w:ilvl w:val="0"/>
          <w:numId w:val="1"/>
        </w:numPr>
        <w:spacing w:line="480" w:lineRule="auto"/>
        <w:rPr>
          <w:rFonts w:ascii="Garamond" w:hAnsi="Garamond"/>
          <w:b/>
          <w:sz w:val="24"/>
          <w:szCs w:val="24"/>
        </w:rPr>
      </w:pPr>
      <w:r w:rsidRPr="00032822">
        <w:rPr>
          <w:rFonts w:ascii="Garamond" w:hAnsi="Garamond"/>
          <w:b/>
          <w:sz w:val="24"/>
          <w:szCs w:val="24"/>
        </w:rPr>
        <w:t>Data and Descriptive Statistics</w:t>
      </w:r>
    </w:p>
    <w:p w:rsidR="0064073E" w:rsidRDefault="00A93EAB" w:rsidP="00EC1833">
      <w:pPr>
        <w:spacing w:line="480" w:lineRule="auto"/>
        <w:jc w:val="both"/>
        <w:rPr>
          <w:rFonts w:ascii="Garamond" w:hAnsi="Garamond"/>
          <w:sz w:val="24"/>
          <w:szCs w:val="24"/>
        </w:rPr>
      </w:pPr>
      <w:r w:rsidRPr="00A93EAB">
        <w:rPr>
          <w:rFonts w:ascii="Garamond" w:hAnsi="Garamond"/>
          <w:sz w:val="24"/>
          <w:szCs w:val="24"/>
        </w:rPr>
        <w:t xml:space="preserve">We use data for </w:t>
      </w:r>
      <w:r>
        <w:rPr>
          <w:rFonts w:ascii="Garamond" w:hAnsi="Garamond"/>
          <w:sz w:val="24"/>
          <w:szCs w:val="24"/>
        </w:rPr>
        <w:t>fourteen leagues from 2006-2007 to 2013-2014</w:t>
      </w:r>
      <w:r w:rsidR="00965364">
        <w:rPr>
          <w:rFonts w:ascii="Garamond" w:hAnsi="Garamond"/>
          <w:sz w:val="24"/>
          <w:szCs w:val="24"/>
        </w:rPr>
        <w:t xml:space="preserve"> s</w:t>
      </w:r>
      <w:r w:rsidRPr="00A93EAB">
        <w:rPr>
          <w:rFonts w:ascii="Garamond" w:hAnsi="Garamond"/>
          <w:sz w:val="24"/>
          <w:szCs w:val="24"/>
        </w:rPr>
        <w:t xml:space="preserve">easons. </w:t>
      </w:r>
      <w:r>
        <w:rPr>
          <w:rFonts w:ascii="Garamond" w:hAnsi="Garamond"/>
          <w:sz w:val="24"/>
          <w:szCs w:val="24"/>
        </w:rPr>
        <w:t>As payroll data is not publicly available we use t</w:t>
      </w:r>
      <w:r w:rsidR="00227C61">
        <w:rPr>
          <w:rFonts w:ascii="Garamond" w:hAnsi="Garamond"/>
          <w:sz w:val="24"/>
          <w:szCs w:val="24"/>
        </w:rPr>
        <w:t>eam valuation from transfermarkt.de</w:t>
      </w:r>
      <w:r>
        <w:rPr>
          <w:rFonts w:ascii="Garamond" w:hAnsi="Garamond"/>
          <w:sz w:val="24"/>
          <w:szCs w:val="24"/>
        </w:rPr>
        <w:t xml:space="preserve"> for the seasons 2006-2007, 2008</w:t>
      </w:r>
      <w:r w:rsidR="00550DFA">
        <w:rPr>
          <w:rFonts w:ascii="Garamond" w:hAnsi="Garamond"/>
          <w:sz w:val="24"/>
          <w:szCs w:val="24"/>
        </w:rPr>
        <w:t>-2009, 2010-2011 and 2013-2014.</w:t>
      </w:r>
      <w:r w:rsidR="00550DFA">
        <w:rPr>
          <w:rStyle w:val="FootnoteReference"/>
          <w:rFonts w:ascii="Garamond" w:hAnsi="Garamond"/>
          <w:sz w:val="24"/>
          <w:szCs w:val="24"/>
        </w:rPr>
        <w:footnoteReference w:id="1"/>
      </w:r>
      <w:r w:rsidR="00550DFA">
        <w:rPr>
          <w:rFonts w:ascii="Garamond" w:hAnsi="Garamond"/>
          <w:sz w:val="24"/>
          <w:szCs w:val="24"/>
        </w:rPr>
        <w:t xml:space="preserve"> </w:t>
      </w:r>
      <w:r w:rsidRPr="00A93EAB">
        <w:rPr>
          <w:rFonts w:ascii="Garamond" w:hAnsi="Garamond"/>
          <w:sz w:val="24"/>
          <w:szCs w:val="24"/>
        </w:rPr>
        <w:t>The</w:t>
      </w:r>
      <w:r w:rsidR="006C397F">
        <w:rPr>
          <w:rFonts w:ascii="Garamond" w:hAnsi="Garamond"/>
          <w:sz w:val="24"/>
          <w:szCs w:val="24"/>
        </w:rPr>
        <w:t>, ranking from each country,</w:t>
      </w:r>
      <w:r w:rsidRPr="00A93EAB">
        <w:rPr>
          <w:rFonts w:ascii="Garamond" w:hAnsi="Garamond"/>
          <w:sz w:val="24"/>
          <w:szCs w:val="24"/>
        </w:rPr>
        <w:t xml:space="preserve"> qualifying teams and payoffs from participating in European competitions are obtained from the UEFA Financial Reports </w:t>
      </w:r>
      <w:r>
        <w:rPr>
          <w:rFonts w:ascii="Garamond" w:hAnsi="Garamond"/>
          <w:sz w:val="24"/>
          <w:szCs w:val="24"/>
        </w:rPr>
        <w:t xml:space="preserve">(Available in </w:t>
      </w:r>
      <w:r w:rsidRPr="00A93EAB">
        <w:rPr>
          <w:rFonts w:ascii="Garamond" w:hAnsi="Garamond"/>
          <w:sz w:val="24"/>
          <w:szCs w:val="24"/>
        </w:rPr>
        <w:t>http://www.uefa.com/uef</w:t>
      </w:r>
      <w:r>
        <w:rPr>
          <w:rFonts w:ascii="Garamond" w:hAnsi="Garamond"/>
          <w:sz w:val="24"/>
          <w:szCs w:val="24"/>
        </w:rPr>
        <w:t>a/management/finance/index.html)</w:t>
      </w:r>
      <w:r w:rsidRPr="00A93EAB">
        <w:rPr>
          <w:rFonts w:ascii="Garamond" w:hAnsi="Garamond"/>
          <w:sz w:val="24"/>
          <w:szCs w:val="24"/>
        </w:rPr>
        <w:t>, and the total point and table placement from ESPN</w:t>
      </w:r>
      <w:r>
        <w:rPr>
          <w:rFonts w:ascii="Garamond" w:hAnsi="Garamond"/>
          <w:sz w:val="24"/>
          <w:szCs w:val="24"/>
        </w:rPr>
        <w:t xml:space="preserve"> FC</w:t>
      </w:r>
      <w:r w:rsidRPr="00A93EAB">
        <w:rPr>
          <w:rFonts w:ascii="Garamond" w:hAnsi="Garamond"/>
          <w:sz w:val="24"/>
          <w:szCs w:val="24"/>
        </w:rPr>
        <w:t xml:space="preserve">.  </w:t>
      </w:r>
      <w:r w:rsidR="0064073E">
        <w:rPr>
          <w:rFonts w:ascii="Garamond" w:hAnsi="Garamond"/>
          <w:sz w:val="24"/>
          <w:szCs w:val="24"/>
        </w:rPr>
        <w:t xml:space="preserve">The leagues in our sample are England, Spain, Italy, France, Germany, Turkey, Netherlands, </w:t>
      </w:r>
      <w:r w:rsidR="006C397F">
        <w:rPr>
          <w:rFonts w:ascii="Garamond" w:hAnsi="Garamond"/>
          <w:sz w:val="24"/>
          <w:szCs w:val="24"/>
        </w:rPr>
        <w:t>Portugal, Belgium, Greece, Scotland,</w:t>
      </w:r>
      <w:r w:rsidR="00600551">
        <w:rPr>
          <w:rFonts w:ascii="Garamond" w:hAnsi="Garamond"/>
          <w:sz w:val="24"/>
          <w:szCs w:val="24"/>
        </w:rPr>
        <w:t xml:space="preserve"> Poland,</w:t>
      </w:r>
      <w:r w:rsidR="006C397F">
        <w:rPr>
          <w:rFonts w:ascii="Garamond" w:hAnsi="Garamond"/>
          <w:sz w:val="24"/>
          <w:szCs w:val="24"/>
        </w:rPr>
        <w:t xml:space="preserve"> Austria, and Switzerland. The</w:t>
      </w:r>
      <w:r w:rsidR="0064073E">
        <w:rPr>
          <w:rFonts w:ascii="Garamond" w:hAnsi="Garamond"/>
          <w:sz w:val="24"/>
          <w:szCs w:val="24"/>
        </w:rPr>
        <w:t xml:space="preserve"> </w:t>
      </w:r>
      <w:r w:rsidR="006C397F">
        <w:rPr>
          <w:rFonts w:ascii="Garamond" w:hAnsi="Garamond"/>
          <w:sz w:val="24"/>
          <w:szCs w:val="24"/>
        </w:rPr>
        <w:t xml:space="preserve">data on each league rankings comes from ESPN FC. </w:t>
      </w:r>
    </w:p>
    <w:p w:rsidR="00E61C50" w:rsidRDefault="00E61C50" w:rsidP="00EC1833">
      <w:pPr>
        <w:spacing w:line="480" w:lineRule="auto"/>
        <w:ind w:firstLine="720"/>
        <w:jc w:val="both"/>
        <w:rPr>
          <w:rFonts w:ascii="Garamond" w:hAnsi="Garamond"/>
          <w:sz w:val="24"/>
          <w:szCs w:val="24"/>
        </w:rPr>
      </w:pPr>
      <w:r>
        <w:rPr>
          <w:rFonts w:ascii="Garamond" w:hAnsi="Garamond"/>
          <w:sz w:val="24"/>
          <w:szCs w:val="24"/>
        </w:rPr>
        <w:t xml:space="preserve">The </w:t>
      </w:r>
      <w:r w:rsidR="00227C61">
        <w:rPr>
          <w:rFonts w:ascii="Garamond" w:hAnsi="Garamond"/>
          <w:sz w:val="24"/>
          <w:szCs w:val="24"/>
        </w:rPr>
        <w:t>Champions League</w:t>
      </w:r>
      <w:r w:rsidR="0025404B">
        <w:rPr>
          <w:rFonts w:ascii="Garamond" w:hAnsi="Garamond"/>
          <w:sz w:val="24"/>
          <w:szCs w:val="24"/>
        </w:rPr>
        <w:t xml:space="preserve"> is divided in</w:t>
      </w:r>
      <w:r w:rsidR="00227C61">
        <w:rPr>
          <w:rFonts w:ascii="Garamond" w:hAnsi="Garamond"/>
          <w:sz w:val="24"/>
          <w:szCs w:val="24"/>
        </w:rPr>
        <w:t>to</w:t>
      </w:r>
      <w:r w:rsidR="0025404B">
        <w:rPr>
          <w:rFonts w:ascii="Garamond" w:hAnsi="Garamond"/>
          <w:sz w:val="24"/>
          <w:szCs w:val="24"/>
        </w:rPr>
        <w:t xml:space="preserve"> six</w:t>
      </w:r>
      <w:r>
        <w:rPr>
          <w:rFonts w:ascii="Garamond" w:hAnsi="Garamond"/>
          <w:sz w:val="24"/>
          <w:szCs w:val="24"/>
        </w:rPr>
        <w:t xml:space="preserve"> stages: the first stage is composed of a double round-</w:t>
      </w:r>
      <w:r w:rsidR="0027779A">
        <w:rPr>
          <w:rFonts w:ascii="Garamond" w:hAnsi="Garamond"/>
          <w:sz w:val="24"/>
          <w:szCs w:val="24"/>
        </w:rPr>
        <w:t>elimination</w:t>
      </w:r>
      <w:r>
        <w:rPr>
          <w:rFonts w:ascii="Garamond" w:hAnsi="Garamond"/>
          <w:sz w:val="24"/>
          <w:szCs w:val="24"/>
        </w:rPr>
        <w:t xml:space="preserve"> stage with four teams, the champions of the four lowest ranked federations. The second stage will include the two winners from the first stage, plus the champions of the federations ranked 17-49</w:t>
      </w:r>
      <w:r w:rsidR="0025404B">
        <w:rPr>
          <w:rFonts w:ascii="Garamond" w:hAnsi="Garamond"/>
          <w:sz w:val="24"/>
          <w:szCs w:val="24"/>
        </w:rPr>
        <w:t xml:space="preserve"> (34 teams)</w:t>
      </w:r>
      <w:r>
        <w:rPr>
          <w:rFonts w:ascii="Garamond" w:hAnsi="Garamond"/>
          <w:sz w:val="24"/>
          <w:szCs w:val="24"/>
        </w:rPr>
        <w:t xml:space="preserve">. The </w:t>
      </w:r>
      <w:r w:rsidR="0027779A">
        <w:rPr>
          <w:rFonts w:ascii="Garamond" w:hAnsi="Garamond"/>
          <w:sz w:val="24"/>
          <w:szCs w:val="24"/>
        </w:rPr>
        <w:t>third round will include the seventeen</w:t>
      </w:r>
      <w:r>
        <w:rPr>
          <w:rFonts w:ascii="Garamond" w:hAnsi="Garamond"/>
          <w:sz w:val="24"/>
          <w:szCs w:val="24"/>
        </w:rPr>
        <w:t xml:space="preserve"> winners from the previous round, the champions from federations 14-16, the </w:t>
      </w:r>
      <w:r w:rsidR="0025404B">
        <w:rPr>
          <w:rFonts w:ascii="Garamond" w:hAnsi="Garamond"/>
          <w:sz w:val="24"/>
          <w:szCs w:val="24"/>
        </w:rPr>
        <w:t>runners up</w:t>
      </w:r>
      <w:r>
        <w:rPr>
          <w:rFonts w:ascii="Garamond" w:hAnsi="Garamond"/>
          <w:sz w:val="24"/>
          <w:szCs w:val="24"/>
        </w:rPr>
        <w:t xml:space="preserve"> from federations ranked 7-15 and the </w:t>
      </w:r>
      <w:r w:rsidR="0025404B">
        <w:rPr>
          <w:rFonts w:ascii="Garamond" w:hAnsi="Garamond"/>
          <w:sz w:val="24"/>
          <w:szCs w:val="24"/>
        </w:rPr>
        <w:t>third</w:t>
      </w:r>
      <w:r>
        <w:rPr>
          <w:rFonts w:ascii="Garamond" w:hAnsi="Garamond"/>
          <w:sz w:val="24"/>
          <w:szCs w:val="24"/>
        </w:rPr>
        <w:t xml:space="preserve"> place</w:t>
      </w:r>
      <w:r w:rsidR="00BC792F">
        <w:rPr>
          <w:rFonts w:ascii="Garamond" w:hAnsi="Garamond"/>
          <w:sz w:val="24"/>
          <w:szCs w:val="24"/>
        </w:rPr>
        <w:t xml:space="preserve"> from federation ranked 6 (30</w:t>
      </w:r>
      <w:r w:rsidR="0025404B">
        <w:rPr>
          <w:rFonts w:ascii="Garamond" w:hAnsi="Garamond"/>
          <w:sz w:val="24"/>
          <w:szCs w:val="24"/>
        </w:rPr>
        <w:t xml:space="preserve"> teams). The playoff round is composed</w:t>
      </w:r>
      <w:r w:rsidR="0027779A">
        <w:rPr>
          <w:rFonts w:ascii="Garamond" w:hAnsi="Garamond"/>
          <w:sz w:val="24"/>
          <w:szCs w:val="24"/>
        </w:rPr>
        <w:t xml:space="preserve"> of a double-stage round robin</w:t>
      </w:r>
      <w:r w:rsidR="0025404B">
        <w:rPr>
          <w:rFonts w:ascii="Garamond" w:hAnsi="Garamond"/>
          <w:sz w:val="24"/>
          <w:szCs w:val="24"/>
        </w:rPr>
        <w:t xml:space="preserve"> </w:t>
      </w:r>
      <w:r w:rsidR="0027779A">
        <w:rPr>
          <w:rFonts w:ascii="Garamond" w:hAnsi="Garamond"/>
          <w:sz w:val="24"/>
          <w:szCs w:val="24"/>
        </w:rPr>
        <w:t>with</w:t>
      </w:r>
      <w:r w:rsidR="0025404B">
        <w:rPr>
          <w:rFonts w:ascii="Garamond" w:hAnsi="Garamond"/>
          <w:sz w:val="24"/>
          <w:szCs w:val="24"/>
        </w:rPr>
        <w:t xml:space="preserve"> the 15 winners of the previous round, two third place teams from federations ranked 4-5 and three fourth place teams from federations 1-3 (20 </w:t>
      </w:r>
      <w:r w:rsidR="0025404B">
        <w:rPr>
          <w:rFonts w:ascii="Garamond" w:hAnsi="Garamond"/>
          <w:sz w:val="24"/>
          <w:szCs w:val="24"/>
        </w:rPr>
        <w:lastRenderedPageBreak/>
        <w:t>teams). Finally, the group stage is composed of the 10 winners from the previous round, the champions from federations 1-13, the runner us from federations 1-6, and the third place of fe</w:t>
      </w:r>
      <w:r w:rsidR="0027779A">
        <w:rPr>
          <w:rFonts w:ascii="Garamond" w:hAnsi="Garamond"/>
          <w:sz w:val="24"/>
          <w:szCs w:val="24"/>
        </w:rPr>
        <w:t>derations 1-3. This is followed</w:t>
      </w:r>
      <w:r w:rsidR="0025404B">
        <w:rPr>
          <w:rFonts w:ascii="Garamond" w:hAnsi="Garamond"/>
          <w:sz w:val="24"/>
          <w:szCs w:val="24"/>
        </w:rPr>
        <w:t xml:space="preserve"> by the knockout phase where the 8 winners and runner ups of the group stage meet</w:t>
      </w:r>
      <w:r w:rsidR="0027779A">
        <w:rPr>
          <w:rFonts w:ascii="Garamond" w:hAnsi="Garamond"/>
          <w:sz w:val="24"/>
          <w:szCs w:val="24"/>
        </w:rPr>
        <w:t xml:space="preserve"> (32 teams)</w:t>
      </w:r>
      <w:r w:rsidR="0025404B">
        <w:rPr>
          <w:rFonts w:ascii="Garamond" w:hAnsi="Garamond"/>
          <w:sz w:val="24"/>
          <w:szCs w:val="24"/>
        </w:rPr>
        <w:t xml:space="preserve">. </w:t>
      </w:r>
    </w:p>
    <w:p w:rsidR="0064073E" w:rsidRDefault="0025404B" w:rsidP="00662058">
      <w:pPr>
        <w:spacing w:line="480" w:lineRule="auto"/>
        <w:jc w:val="both"/>
        <w:rPr>
          <w:rFonts w:ascii="Garamond" w:hAnsi="Garamond"/>
          <w:sz w:val="24"/>
          <w:szCs w:val="24"/>
        </w:rPr>
      </w:pPr>
      <w:r>
        <w:rPr>
          <w:rFonts w:ascii="Garamond" w:hAnsi="Garamond"/>
          <w:sz w:val="24"/>
          <w:szCs w:val="24"/>
        </w:rPr>
        <w:tab/>
        <w:t>The further a team advances in the Champions League, the higher the team revenue will be.</w:t>
      </w:r>
      <w:r w:rsidR="00EB3E78">
        <w:rPr>
          <w:rFonts w:ascii="Garamond" w:hAnsi="Garamond"/>
          <w:sz w:val="24"/>
          <w:szCs w:val="24"/>
        </w:rPr>
        <w:t xml:space="preserve"> While earnings in the qualifying rounds are relatively modest, earnings on the group phase and after are quite substantial. </w:t>
      </w:r>
      <w:r w:rsidR="00FA2379">
        <w:rPr>
          <w:rFonts w:ascii="Garamond" w:hAnsi="Garamond"/>
          <w:sz w:val="24"/>
          <w:szCs w:val="24"/>
        </w:rPr>
        <w:t>Teams who fail to qualify to the group stage earn 150,000 euros if the play in the first stage, 200,00</w:t>
      </w:r>
      <w:r w:rsidR="00EC1833">
        <w:rPr>
          <w:rFonts w:ascii="Garamond" w:hAnsi="Garamond"/>
          <w:sz w:val="24"/>
          <w:szCs w:val="24"/>
        </w:rPr>
        <w:t>0</w:t>
      </w:r>
      <w:r w:rsidR="00FA2379">
        <w:rPr>
          <w:rFonts w:ascii="Garamond" w:hAnsi="Garamond"/>
          <w:sz w:val="24"/>
          <w:szCs w:val="24"/>
        </w:rPr>
        <w:t xml:space="preserve"> euros if they play in the second stage, and 250,000 if the</w:t>
      </w:r>
      <w:r w:rsidR="009531C9">
        <w:rPr>
          <w:rFonts w:ascii="Garamond" w:hAnsi="Garamond"/>
          <w:sz w:val="24"/>
          <w:szCs w:val="24"/>
        </w:rPr>
        <w:t>y are</w:t>
      </w:r>
      <w:r w:rsidR="00FA2379">
        <w:rPr>
          <w:rFonts w:ascii="Garamond" w:hAnsi="Garamond"/>
          <w:sz w:val="24"/>
          <w:szCs w:val="24"/>
        </w:rPr>
        <w:t xml:space="preserve"> in the third stage</w:t>
      </w:r>
      <w:r w:rsidR="009531C9">
        <w:rPr>
          <w:rFonts w:ascii="Garamond" w:hAnsi="Garamond"/>
          <w:sz w:val="24"/>
          <w:szCs w:val="24"/>
        </w:rPr>
        <w:t xml:space="preserve"> playoff. </w:t>
      </w:r>
      <w:r w:rsidR="00FA2379">
        <w:rPr>
          <w:rFonts w:ascii="Garamond" w:hAnsi="Garamond"/>
          <w:sz w:val="24"/>
          <w:szCs w:val="24"/>
        </w:rPr>
        <w:t xml:space="preserve"> </w:t>
      </w:r>
      <w:r w:rsidR="00EC1833">
        <w:rPr>
          <w:rFonts w:ascii="Garamond" w:hAnsi="Garamond"/>
          <w:sz w:val="24"/>
          <w:szCs w:val="24"/>
        </w:rPr>
        <w:t>T</w:t>
      </w:r>
      <w:r w:rsidR="00FA2379">
        <w:rPr>
          <w:rFonts w:ascii="Garamond" w:hAnsi="Garamond"/>
          <w:sz w:val="24"/>
          <w:szCs w:val="24"/>
        </w:rPr>
        <w:t xml:space="preserve">he big </w:t>
      </w:r>
      <w:r w:rsidR="00EC1833">
        <w:rPr>
          <w:rFonts w:ascii="Garamond" w:hAnsi="Garamond"/>
          <w:sz w:val="24"/>
          <w:szCs w:val="24"/>
        </w:rPr>
        <w:t>returns</w:t>
      </w:r>
      <w:r w:rsidR="00FA2379">
        <w:rPr>
          <w:rFonts w:ascii="Garamond" w:hAnsi="Garamond"/>
          <w:sz w:val="24"/>
          <w:szCs w:val="24"/>
        </w:rPr>
        <w:t xml:space="preserve"> start with the group stage. </w:t>
      </w:r>
      <w:r>
        <w:rPr>
          <w:rFonts w:ascii="Garamond" w:hAnsi="Garamond"/>
          <w:sz w:val="24"/>
          <w:szCs w:val="24"/>
        </w:rPr>
        <w:t>For example, for</w:t>
      </w:r>
      <w:r w:rsidR="0027779A">
        <w:rPr>
          <w:rFonts w:ascii="Garamond" w:hAnsi="Garamond"/>
          <w:sz w:val="24"/>
          <w:szCs w:val="24"/>
        </w:rPr>
        <w:t xml:space="preserve"> the 2012-2013 tournament a total of </w:t>
      </w:r>
      <w:r w:rsidR="00EB3E78">
        <w:rPr>
          <w:rFonts w:ascii="Garamond" w:hAnsi="Garamond"/>
          <w:sz w:val="24"/>
          <w:szCs w:val="24"/>
        </w:rPr>
        <w:t>904</w:t>
      </w:r>
      <w:r w:rsidR="0027779A">
        <w:rPr>
          <w:rFonts w:ascii="Garamond" w:hAnsi="Garamond"/>
          <w:sz w:val="24"/>
          <w:szCs w:val="24"/>
        </w:rPr>
        <w:t xml:space="preserve"> million euros was distributed </w:t>
      </w:r>
      <w:r w:rsidR="00FA2379">
        <w:rPr>
          <w:rFonts w:ascii="Garamond" w:hAnsi="Garamond"/>
          <w:sz w:val="24"/>
          <w:szCs w:val="24"/>
        </w:rPr>
        <w:t xml:space="preserve">to teams </w:t>
      </w:r>
      <w:r w:rsidR="0027779A">
        <w:rPr>
          <w:rFonts w:ascii="Garamond" w:hAnsi="Garamond"/>
          <w:sz w:val="24"/>
          <w:szCs w:val="24"/>
        </w:rPr>
        <w:t xml:space="preserve">participating </w:t>
      </w:r>
      <w:r w:rsidR="00FA2379">
        <w:rPr>
          <w:rFonts w:ascii="Garamond" w:hAnsi="Garamond"/>
          <w:sz w:val="24"/>
          <w:szCs w:val="24"/>
        </w:rPr>
        <w:t>in the group stage</w:t>
      </w:r>
      <w:r w:rsidR="0027779A">
        <w:rPr>
          <w:rFonts w:ascii="Garamond" w:hAnsi="Garamond"/>
          <w:sz w:val="24"/>
          <w:szCs w:val="24"/>
        </w:rPr>
        <w:t xml:space="preserve"> under the following formula. </w:t>
      </w:r>
      <w:r w:rsidR="00EB3E78">
        <w:rPr>
          <w:rFonts w:ascii="Garamond" w:hAnsi="Garamond"/>
          <w:sz w:val="24"/>
          <w:szCs w:val="24"/>
        </w:rPr>
        <w:t>First, 495 million euros are distributed based in the following rule: t</w:t>
      </w:r>
      <w:r w:rsidR="0027779A">
        <w:rPr>
          <w:rFonts w:ascii="Garamond" w:hAnsi="Garamond"/>
          <w:sz w:val="24"/>
          <w:szCs w:val="24"/>
        </w:rPr>
        <w:t>eams playing in the grou</w:t>
      </w:r>
      <w:r w:rsidR="00EB3E78">
        <w:rPr>
          <w:rFonts w:ascii="Garamond" w:hAnsi="Garamond"/>
          <w:sz w:val="24"/>
          <w:szCs w:val="24"/>
        </w:rPr>
        <w:t>p stage receive a stage fee of 8.6</w:t>
      </w:r>
      <w:r w:rsidR="0027779A">
        <w:rPr>
          <w:rFonts w:ascii="Garamond" w:hAnsi="Garamond"/>
          <w:sz w:val="24"/>
          <w:szCs w:val="24"/>
        </w:rPr>
        <w:t xml:space="preserve"> million euros, plus </w:t>
      </w:r>
      <w:r w:rsidR="00EB3E78">
        <w:rPr>
          <w:rFonts w:ascii="Garamond" w:hAnsi="Garamond"/>
          <w:sz w:val="24"/>
          <w:szCs w:val="24"/>
        </w:rPr>
        <w:t>1 m</w:t>
      </w:r>
      <w:r w:rsidR="0027779A">
        <w:rPr>
          <w:rFonts w:ascii="Garamond" w:hAnsi="Garamond"/>
          <w:sz w:val="24"/>
          <w:szCs w:val="24"/>
        </w:rPr>
        <w:t xml:space="preserve"> euros for every win and </w:t>
      </w:r>
      <w:r w:rsidR="00EB3E78">
        <w:rPr>
          <w:rFonts w:ascii="Garamond" w:hAnsi="Garamond"/>
          <w:sz w:val="24"/>
          <w:szCs w:val="24"/>
        </w:rPr>
        <w:t>.5 m euros for every draw</w:t>
      </w:r>
      <w:r w:rsidR="0027779A">
        <w:rPr>
          <w:rFonts w:ascii="Garamond" w:hAnsi="Garamond"/>
          <w:sz w:val="24"/>
          <w:szCs w:val="24"/>
        </w:rPr>
        <w:t xml:space="preserve">. Teams that qualify to the knock out phase earn </w:t>
      </w:r>
      <w:r w:rsidR="00BC792F">
        <w:rPr>
          <w:rFonts w:ascii="Garamond" w:hAnsi="Garamond"/>
          <w:sz w:val="24"/>
          <w:szCs w:val="24"/>
        </w:rPr>
        <w:t>an additional</w:t>
      </w:r>
      <w:r w:rsidR="00EB3E78">
        <w:rPr>
          <w:rFonts w:ascii="Garamond" w:hAnsi="Garamond"/>
          <w:sz w:val="24"/>
          <w:szCs w:val="24"/>
        </w:rPr>
        <w:t xml:space="preserve"> 3.5 million</w:t>
      </w:r>
      <w:r w:rsidR="00BC792F">
        <w:rPr>
          <w:rFonts w:ascii="Garamond" w:hAnsi="Garamond"/>
          <w:sz w:val="24"/>
          <w:szCs w:val="24"/>
        </w:rPr>
        <w:t xml:space="preserve"> euros, teams that further qualify to the quarterfinals earn an additional </w:t>
      </w:r>
      <w:r w:rsidR="00EB3E78">
        <w:rPr>
          <w:rFonts w:ascii="Garamond" w:hAnsi="Garamond"/>
          <w:sz w:val="24"/>
          <w:szCs w:val="24"/>
        </w:rPr>
        <w:t>3.9 million</w:t>
      </w:r>
      <w:r w:rsidR="00BC792F">
        <w:rPr>
          <w:rFonts w:ascii="Garamond" w:hAnsi="Garamond"/>
          <w:sz w:val="24"/>
          <w:szCs w:val="24"/>
        </w:rPr>
        <w:t xml:space="preserve"> euros, teams making it to the semi-final earn an</w:t>
      </w:r>
      <w:r w:rsidR="00EB3E78">
        <w:rPr>
          <w:rFonts w:ascii="Garamond" w:hAnsi="Garamond"/>
          <w:sz w:val="24"/>
          <w:szCs w:val="24"/>
        </w:rPr>
        <w:t xml:space="preserve"> additional</w:t>
      </w:r>
      <w:r w:rsidR="00BC792F">
        <w:rPr>
          <w:rFonts w:ascii="Garamond" w:hAnsi="Garamond"/>
          <w:sz w:val="24"/>
          <w:szCs w:val="24"/>
        </w:rPr>
        <w:t xml:space="preserve"> </w:t>
      </w:r>
      <w:r w:rsidR="00EB3E78">
        <w:rPr>
          <w:rFonts w:ascii="Garamond" w:hAnsi="Garamond"/>
          <w:sz w:val="24"/>
          <w:szCs w:val="24"/>
        </w:rPr>
        <w:t xml:space="preserve">4.9 million </w:t>
      </w:r>
      <w:r w:rsidR="00BC792F">
        <w:rPr>
          <w:rFonts w:ascii="Garamond" w:hAnsi="Garamond"/>
          <w:sz w:val="24"/>
          <w:szCs w:val="24"/>
        </w:rPr>
        <w:t xml:space="preserve">euros, and the winner of the final nets </w:t>
      </w:r>
      <w:r w:rsidR="00EB3E78">
        <w:rPr>
          <w:rFonts w:ascii="Garamond" w:hAnsi="Garamond"/>
          <w:sz w:val="24"/>
          <w:szCs w:val="24"/>
        </w:rPr>
        <w:t>10.</w:t>
      </w:r>
      <w:r w:rsidR="00BC792F">
        <w:rPr>
          <w:rFonts w:ascii="Garamond" w:hAnsi="Garamond"/>
          <w:sz w:val="24"/>
          <w:szCs w:val="24"/>
        </w:rPr>
        <w:t>5 m eu</w:t>
      </w:r>
      <w:r w:rsidR="00EB3E78">
        <w:rPr>
          <w:rFonts w:ascii="Garamond" w:hAnsi="Garamond"/>
          <w:sz w:val="24"/>
          <w:szCs w:val="24"/>
        </w:rPr>
        <w:t>ros, while the runner up earns 6</w:t>
      </w:r>
      <w:r w:rsidR="00BC792F">
        <w:rPr>
          <w:rFonts w:ascii="Garamond" w:hAnsi="Garamond"/>
          <w:sz w:val="24"/>
          <w:szCs w:val="24"/>
        </w:rPr>
        <w:t xml:space="preserve">.5 million. </w:t>
      </w:r>
      <w:r w:rsidR="00EB3E78">
        <w:rPr>
          <w:rFonts w:ascii="Garamond" w:hAnsi="Garamond"/>
          <w:sz w:val="24"/>
          <w:szCs w:val="24"/>
        </w:rPr>
        <w:t xml:space="preserve"> In addition 409 million euros are di</w:t>
      </w:r>
      <w:r w:rsidR="00FA2379">
        <w:rPr>
          <w:rFonts w:ascii="Garamond" w:hAnsi="Garamond"/>
          <w:sz w:val="24"/>
          <w:szCs w:val="24"/>
        </w:rPr>
        <w:t xml:space="preserve">stributed based on each team’s </w:t>
      </w:r>
      <w:r w:rsidR="00EB3E78">
        <w:rPr>
          <w:rFonts w:ascii="Garamond" w:hAnsi="Garamond"/>
          <w:sz w:val="24"/>
          <w:szCs w:val="24"/>
        </w:rPr>
        <w:t>market pool.</w:t>
      </w:r>
      <w:r w:rsidR="00FA2379">
        <w:rPr>
          <w:rFonts w:ascii="Garamond" w:hAnsi="Garamond"/>
          <w:sz w:val="24"/>
          <w:szCs w:val="24"/>
        </w:rPr>
        <w:t xml:space="preserve"> (source: </w:t>
      </w:r>
      <w:hyperlink r:id="rId8" w:history="1">
        <w:r w:rsidR="00FA2379" w:rsidRPr="00EC7DE5">
          <w:rPr>
            <w:rStyle w:val="Hyperlink"/>
            <w:rFonts w:ascii="Garamond" w:hAnsi="Garamond"/>
            <w:sz w:val="24"/>
            <w:szCs w:val="24"/>
          </w:rPr>
          <w:t>http://www.uefa.org/management/finance/news/newsid=1979893.html</w:t>
        </w:r>
      </w:hyperlink>
      <w:r w:rsidR="00FA2379">
        <w:rPr>
          <w:rFonts w:ascii="Garamond" w:hAnsi="Garamond"/>
          <w:sz w:val="24"/>
          <w:szCs w:val="24"/>
        </w:rPr>
        <w:t>) Note that the total amoun</w:t>
      </w:r>
      <w:r w:rsidR="00D5212E">
        <w:rPr>
          <w:rFonts w:ascii="Garamond" w:hAnsi="Garamond"/>
          <w:sz w:val="24"/>
          <w:szCs w:val="24"/>
        </w:rPr>
        <w:t xml:space="preserve">t for the 2013-2014 season </w:t>
      </w:r>
      <w:r w:rsidR="00FA2379">
        <w:rPr>
          <w:rFonts w:ascii="Garamond" w:hAnsi="Garamond"/>
          <w:sz w:val="24"/>
          <w:szCs w:val="24"/>
        </w:rPr>
        <w:t>increase</w:t>
      </w:r>
      <w:r w:rsidR="00D5212E">
        <w:rPr>
          <w:rFonts w:ascii="Garamond" w:hAnsi="Garamond"/>
          <w:sz w:val="24"/>
          <w:szCs w:val="24"/>
        </w:rPr>
        <w:t>d</w:t>
      </w:r>
      <w:r w:rsidR="00FA2379">
        <w:rPr>
          <w:rFonts w:ascii="Garamond" w:hAnsi="Garamond"/>
          <w:sz w:val="24"/>
          <w:szCs w:val="24"/>
        </w:rPr>
        <w:t xml:space="preserve"> from 904 million euros to 1.285 bn euros. </w:t>
      </w:r>
      <w:r w:rsidR="00EB3E78">
        <w:rPr>
          <w:rFonts w:ascii="Garamond" w:hAnsi="Garamond"/>
          <w:sz w:val="24"/>
          <w:szCs w:val="24"/>
        </w:rPr>
        <w:t xml:space="preserve"> </w:t>
      </w:r>
      <w:r w:rsidR="00DF26DC">
        <w:rPr>
          <w:rFonts w:ascii="Garamond" w:hAnsi="Garamond"/>
          <w:sz w:val="24"/>
          <w:szCs w:val="24"/>
        </w:rPr>
        <w:t>Figure 1 shows the evolution</w:t>
      </w:r>
      <w:r w:rsidR="00D5212E">
        <w:rPr>
          <w:rFonts w:ascii="Garamond" w:hAnsi="Garamond"/>
          <w:sz w:val="24"/>
          <w:szCs w:val="24"/>
        </w:rPr>
        <w:t xml:space="preserve"> of</w:t>
      </w:r>
      <w:r w:rsidR="00DF26DC">
        <w:rPr>
          <w:rFonts w:ascii="Garamond" w:hAnsi="Garamond"/>
          <w:sz w:val="24"/>
          <w:szCs w:val="24"/>
        </w:rPr>
        <w:t xml:space="preserve"> payments to teams from each of the top five leagues from 2006 to 2011. Notice that while the trend is increasing on average for all leagues, the largest increase in absolute terms is for the smaller leagues that are all collapsed in one category or England. </w:t>
      </w:r>
      <w:r w:rsidR="00BC792F">
        <w:rPr>
          <w:rFonts w:ascii="Garamond" w:hAnsi="Garamond"/>
          <w:sz w:val="24"/>
          <w:szCs w:val="24"/>
        </w:rPr>
        <w:t xml:space="preserve"> </w:t>
      </w:r>
    </w:p>
    <w:p w:rsidR="00A93EAB" w:rsidRDefault="00A93EAB" w:rsidP="00EC1833">
      <w:pPr>
        <w:spacing w:line="480" w:lineRule="auto"/>
        <w:ind w:firstLine="720"/>
        <w:jc w:val="both"/>
        <w:rPr>
          <w:rFonts w:ascii="Garamond" w:hAnsi="Garamond"/>
          <w:sz w:val="24"/>
          <w:szCs w:val="24"/>
        </w:rPr>
      </w:pPr>
      <w:r w:rsidRPr="00A93EAB">
        <w:rPr>
          <w:rFonts w:ascii="Garamond" w:hAnsi="Garamond"/>
          <w:sz w:val="24"/>
          <w:szCs w:val="24"/>
        </w:rPr>
        <w:t>Table 1 presents the number</w:t>
      </w:r>
      <w:r w:rsidR="00D5212E">
        <w:rPr>
          <w:rFonts w:ascii="Garamond" w:hAnsi="Garamond"/>
          <w:sz w:val="24"/>
          <w:szCs w:val="24"/>
        </w:rPr>
        <w:t xml:space="preserve"> of</w:t>
      </w:r>
      <w:r w:rsidRPr="00A93EAB">
        <w:rPr>
          <w:rFonts w:ascii="Garamond" w:hAnsi="Garamond"/>
          <w:sz w:val="24"/>
          <w:szCs w:val="24"/>
        </w:rPr>
        <w:t xml:space="preserve"> </w:t>
      </w:r>
      <w:r w:rsidR="00D645F0">
        <w:rPr>
          <w:rFonts w:ascii="Garamond" w:hAnsi="Garamond"/>
          <w:sz w:val="24"/>
          <w:szCs w:val="24"/>
        </w:rPr>
        <w:t xml:space="preserve">spots as defined above from each of </w:t>
      </w:r>
      <w:r w:rsidR="0064073E">
        <w:rPr>
          <w:rFonts w:ascii="Garamond" w:hAnsi="Garamond"/>
          <w:sz w:val="24"/>
          <w:szCs w:val="24"/>
        </w:rPr>
        <w:t>the fourteen</w:t>
      </w:r>
      <w:r>
        <w:rPr>
          <w:rFonts w:ascii="Garamond" w:hAnsi="Garamond"/>
          <w:sz w:val="24"/>
          <w:szCs w:val="24"/>
        </w:rPr>
        <w:t xml:space="preserve"> leagues</w:t>
      </w:r>
      <w:r w:rsidRPr="00A93EAB">
        <w:rPr>
          <w:rFonts w:ascii="Garamond" w:hAnsi="Garamond"/>
          <w:sz w:val="24"/>
          <w:szCs w:val="24"/>
        </w:rPr>
        <w:t xml:space="preserve"> </w:t>
      </w:r>
      <w:r w:rsidR="00D645F0">
        <w:rPr>
          <w:rFonts w:ascii="Garamond" w:hAnsi="Garamond"/>
          <w:sz w:val="24"/>
          <w:szCs w:val="24"/>
        </w:rPr>
        <w:t xml:space="preserve">from 2005-2013. </w:t>
      </w:r>
      <w:r w:rsidR="00E96993">
        <w:rPr>
          <w:rFonts w:ascii="Garamond" w:hAnsi="Garamond"/>
          <w:sz w:val="24"/>
          <w:szCs w:val="24"/>
        </w:rPr>
        <w:t>England, Spain and Germany are the l</w:t>
      </w:r>
      <w:r w:rsidR="00305C13">
        <w:rPr>
          <w:rFonts w:ascii="Garamond" w:hAnsi="Garamond"/>
          <w:sz w:val="24"/>
          <w:szCs w:val="24"/>
        </w:rPr>
        <w:t>eagues with the most spots with four</w:t>
      </w:r>
      <w:r w:rsidR="00E96993">
        <w:rPr>
          <w:rFonts w:ascii="Garamond" w:hAnsi="Garamond"/>
          <w:sz w:val="24"/>
          <w:szCs w:val="24"/>
        </w:rPr>
        <w:t xml:space="preserve"> spots each, </w:t>
      </w:r>
      <w:r w:rsidR="00305C13">
        <w:rPr>
          <w:rFonts w:ascii="Garamond" w:hAnsi="Garamond"/>
          <w:sz w:val="24"/>
          <w:szCs w:val="24"/>
        </w:rPr>
        <w:t xml:space="preserve">yet while the first two leagues do not change the number of spots during this time </w:t>
      </w:r>
      <w:r w:rsidR="00305C13">
        <w:rPr>
          <w:rFonts w:ascii="Garamond" w:hAnsi="Garamond"/>
          <w:sz w:val="24"/>
          <w:szCs w:val="24"/>
        </w:rPr>
        <w:lastRenderedPageBreak/>
        <w:t>period, Germany adds one. In contrast</w:t>
      </w:r>
      <w:r w:rsidR="00E96993">
        <w:rPr>
          <w:rFonts w:ascii="Garamond" w:hAnsi="Garamond"/>
          <w:sz w:val="24"/>
          <w:szCs w:val="24"/>
        </w:rPr>
        <w:t xml:space="preserve"> Italy and Portugal </w:t>
      </w:r>
      <w:r w:rsidR="00305C13">
        <w:rPr>
          <w:rFonts w:ascii="Garamond" w:hAnsi="Garamond"/>
          <w:sz w:val="24"/>
          <w:szCs w:val="24"/>
        </w:rPr>
        <w:t xml:space="preserve">experience more variation during this time period, Italy flows move between four and three, while Portugal between one and three. </w:t>
      </w:r>
      <w:r w:rsidR="00E96993">
        <w:rPr>
          <w:rFonts w:ascii="Garamond" w:hAnsi="Garamond"/>
          <w:sz w:val="24"/>
          <w:szCs w:val="24"/>
        </w:rPr>
        <w:t>Not surprisingly</w:t>
      </w:r>
      <w:r w:rsidR="00305C13">
        <w:rPr>
          <w:rFonts w:ascii="Garamond" w:hAnsi="Garamond"/>
          <w:sz w:val="24"/>
          <w:szCs w:val="24"/>
        </w:rPr>
        <w:t>,</w:t>
      </w:r>
      <w:r w:rsidR="00E96993">
        <w:rPr>
          <w:rFonts w:ascii="Garamond" w:hAnsi="Garamond"/>
          <w:sz w:val="24"/>
          <w:szCs w:val="24"/>
        </w:rPr>
        <w:t xml:space="preserve"> the smaller leagues have less spots, </w:t>
      </w:r>
      <w:r w:rsidR="00305C13">
        <w:rPr>
          <w:rFonts w:ascii="Garamond" w:hAnsi="Garamond"/>
          <w:sz w:val="24"/>
          <w:szCs w:val="24"/>
        </w:rPr>
        <w:t>and</w:t>
      </w:r>
      <w:r w:rsidR="00606BE5">
        <w:rPr>
          <w:rFonts w:ascii="Garamond" w:hAnsi="Garamond"/>
          <w:sz w:val="24"/>
          <w:szCs w:val="24"/>
        </w:rPr>
        <w:t>,</w:t>
      </w:r>
      <w:r w:rsidR="00305C13">
        <w:rPr>
          <w:rFonts w:ascii="Garamond" w:hAnsi="Garamond"/>
          <w:sz w:val="24"/>
          <w:szCs w:val="24"/>
        </w:rPr>
        <w:t xml:space="preserve"> </w:t>
      </w:r>
      <w:r w:rsidR="00E96993">
        <w:rPr>
          <w:rFonts w:ascii="Garamond" w:hAnsi="Garamond"/>
          <w:sz w:val="24"/>
          <w:szCs w:val="24"/>
        </w:rPr>
        <w:t>for example</w:t>
      </w:r>
      <w:r w:rsidR="00606BE5">
        <w:rPr>
          <w:rFonts w:ascii="Garamond" w:hAnsi="Garamond"/>
          <w:sz w:val="24"/>
          <w:szCs w:val="24"/>
        </w:rPr>
        <w:t>,</w:t>
      </w:r>
      <w:r w:rsidR="00E96993">
        <w:rPr>
          <w:rFonts w:ascii="Garamond" w:hAnsi="Garamond"/>
          <w:sz w:val="24"/>
          <w:szCs w:val="24"/>
        </w:rPr>
        <w:t xml:space="preserve"> </w:t>
      </w:r>
      <w:r w:rsidR="00305C13">
        <w:rPr>
          <w:rFonts w:ascii="Garamond" w:hAnsi="Garamond"/>
          <w:sz w:val="24"/>
          <w:szCs w:val="24"/>
        </w:rPr>
        <w:t xml:space="preserve">Scotland and Switzerland experience variation as well </w:t>
      </w:r>
      <w:r w:rsidR="00606BE5">
        <w:rPr>
          <w:rFonts w:ascii="Garamond" w:hAnsi="Garamond"/>
          <w:sz w:val="24"/>
          <w:szCs w:val="24"/>
        </w:rPr>
        <w:t>with movements between one and two slots</w:t>
      </w:r>
      <w:r w:rsidR="00E96993">
        <w:rPr>
          <w:rFonts w:ascii="Garamond" w:hAnsi="Garamond"/>
          <w:sz w:val="24"/>
          <w:szCs w:val="24"/>
        </w:rPr>
        <w:t xml:space="preserve">. </w:t>
      </w:r>
    </w:p>
    <w:p w:rsidR="00942BFE" w:rsidRPr="006E5288" w:rsidRDefault="00DF26DC" w:rsidP="00662058">
      <w:pPr>
        <w:spacing w:line="480" w:lineRule="auto"/>
        <w:ind w:firstLine="360"/>
        <w:jc w:val="both"/>
        <w:rPr>
          <w:rFonts w:ascii="Garamond" w:hAnsi="Garamond"/>
          <w:sz w:val="24"/>
          <w:szCs w:val="24"/>
        </w:rPr>
      </w:pPr>
      <w:r>
        <w:rPr>
          <w:rFonts w:ascii="Garamond" w:hAnsi="Garamond"/>
          <w:sz w:val="24"/>
          <w:szCs w:val="24"/>
        </w:rPr>
        <w:t xml:space="preserve">Figure 2 shows the evolution of </w:t>
      </w:r>
      <w:r w:rsidR="00662058">
        <w:rPr>
          <w:rFonts w:ascii="Garamond" w:hAnsi="Garamond"/>
          <w:sz w:val="24"/>
          <w:szCs w:val="24"/>
        </w:rPr>
        <w:t>team</w:t>
      </w:r>
      <w:r>
        <w:rPr>
          <w:rFonts w:ascii="Garamond" w:hAnsi="Garamond"/>
          <w:sz w:val="24"/>
          <w:szCs w:val="24"/>
        </w:rPr>
        <w:t xml:space="preserve"> valuation</w:t>
      </w:r>
      <w:r w:rsidR="00662058">
        <w:rPr>
          <w:rFonts w:ascii="Garamond" w:hAnsi="Garamond"/>
          <w:sz w:val="24"/>
          <w:szCs w:val="24"/>
        </w:rPr>
        <w:t>s</w:t>
      </w:r>
      <w:r>
        <w:rPr>
          <w:rFonts w:ascii="Garamond" w:hAnsi="Garamond"/>
          <w:sz w:val="24"/>
          <w:szCs w:val="24"/>
        </w:rPr>
        <w:t xml:space="preserve"> for the top 5 leagues, and collapsing all other leagues into a new category. As with earnings from the Champions League, these valuations are increasing the most for the category with all smaller countries collapsed and for England. This is prima-facia evidence that </w:t>
      </w:r>
      <w:r w:rsidR="00323C61">
        <w:rPr>
          <w:rFonts w:ascii="Garamond" w:hAnsi="Garamond"/>
          <w:sz w:val="24"/>
          <w:szCs w:val="24"/>
        </w:rPr>
        <w:t>highe</w:t>
      </w:r>
      <w:r w:rsidR="003F2F46">
        <w:rPr>
          <w:rFonts w:ascii="Garamond" w:hAnsi="Garamond"/>
          <w:sz w:val="24"/>
          <w:szCs w:val="24"/>
        </w:rPr>
        <w:t>r team payroll (as measured by</w:t>
      </w:r>
      <w:r w:rsidR="00323C61">
        <w:rPr>
          <w:rFonts w:ascii="Garamond" w:hAnsi="Garamond"/>
          <w:sz w:val="24"/>
          <w:szCs w:val="24"/>
        </w:rPr>
        <w:t xml:space="preserve"> team valuation) is associated with higher earnings and access to the Champions League, but of course this association may very well be driven by </w:t>
      </w:r>
      <w:r w:rsidR="003F2F46">
        <w:rPr>
          <w:rFonts w:ascii="Garamond" w:hAnsi="Garamond"/>
          <w:sz w:val="24"/>
          <w:szCs w:val="24"/>
        </w:rPr>
        <w:t>league heterogeneity or</w:t>
      </w:r>
      <w:r w:rsidR="008F1D55">
        <w:rPr>
          <w:rFonts w:ascii="Garamond" w:hAnsi="Garamond"/>
          <w:sz w:val="24"/>
          <w:szCs w:val="24"/>
        </w:rPr>
        <w:t xml:space="preserve"> by other secular trends in the soccer landscape. </w:t>
      </w:r>
      <w:r w:rsidR="00323C61">
        <w:rPr>
          <w:rFonts w:ascii="Garamond" w:hAnsi="Garamond"/>
          <w:sz w:val="24"/>
          <w:szCs w:val="24"/>
        </w:rPr>
        <w:t xml:space="preserve"> </w:t>
      </w:r>
    </w:p>
    <w:p w:rsidR="00942BFE" w:rsidRPr="00032822" w:rsidRDefault="00942BFE" w:rsidP="00032822">
      <w:pPr>
        <w:pStyle w:val="ListParagraph"/>
        <w:numPr>
          <w:ilvl w:val="0"/>
          <w:numId w:val="1"/>
        </w:numPr>
        <w:spacing w:line="480" w:lineRule="auto"/>
        <w:rPr>
          <w:rFonts w:ascii="Garamond" w:hAnsi="Garamond"/>
          <w:b/>
          <w:sz w:val="24"/>
          <w:szCs w:val="24"/>
        </w:rPr>
      </w:pPr>
      <w:r w:rsidRPr="00032822">
        <w:rPr>
          <w:rFonts w:ascii="Garamond" w:hAnsi="Garamond"/>
          <w:b/>
          <w:sz w:val="24"/>
          <w:szCs w:val="24"/>
        </w:rPr>
        <w:t>Empirical Specification</w:t>
      </w:r>
    </w:p>
    <w:p w:rsidR="003F2F46" w:rsidRDefault="006E5288" w:rsidP="00FF64AF">
      <w:pPr>
        <w:spacing w:line="480" w:lineRule="auto"/>
        <w:jc w:val="both"/>
        <w:rPr>
          <w:rFonts w:ascii="Garamond" w:hAnsi="Garamond"/>
          <w:sz w:val="24"/>
          <w:szCs w:val="24"/>
        </w:rPr>
      </w:pPr>
      <w:r>
        <w:rPr>
          <w:rFonts w:ascii="Garamond" w:hAnsi="Garamond"/>
          <w:sz w:val="24"/>
          <w:szCs w:val="24"/>
        </w:rPr>
        <w:tab/>
        <w:t>Our empirical specification relies on the fact that the UEFA coefficient</w:t>
      </w:r>
      <w:r w:rsidR="00631F94">
        <w:rPr>
          <w:rFonts w:ascii="Garamond" w:hAnsi="Garamond"/>
          <w:sz w:val="24"/>
          <w:szCs w:val="24"/>
        </w:rPr>
        <w:t>, and thus the number of spots each team gets in the Champion League,</w:t>
      </w:r>
      <w:r>
        <w:rPr>
          <w:rFonts w:ascii="Garamond" w:hAnsi="Garamond"/>
          <w:sz w:val="24"/>
          <w:szCs w:val="24"/>
        </w:rPr>
        <w:t xml:space="preserve"> is determined </w:t>
      </w:r>
      <w:r w:rsidR="00631F94">
        <w:rPr>
          <w:rFonts w:ascii="Garamond" w:hAnsi="Garamond"/>
          <w:sz w:val="24"/>
          <w:szCs w:val="24"/>
        </w:rPr>
        <w:t xml:space="preserve">by the outcome in the Champions League by each country’s teams in the past five years of competition. As such, any single team in a given year </w:t>
      </w:r>
      <w:r w:rsidR="00FF64AF">
        <w:rPr>
          <w:rFonts w:ascii="Garamond" w:hAnsi="Garamond"/>
          <w:sz w:val="24"/>
          <w:szCs w:val="24"/>
        </w:rPr>
        <w:t xml:space="preserve">only influences its countries’ coefficient marginally. Moreover, changes in the number of marginal Champions League slots for a given league should only affect the decisions of teams operating at the </w:t>
      </w:r>
      <w:r w:rsidR="00631F94">
        <w:rPr>
          <w:rFonts w:ascii="Garamond" w:hAnsi="Garamond"/>
          <w:sz w:val="24"/>
          <w:szCs w:val="24"/>
        </w:rPr>
        <w:t xml:space="preserve">margin </w:t>
      </w:r>
      <w:r w:rsidR="00FF64AF">
        <w:rPr>
          <w:rFonts w:ascii="Garamond" w:hAnsi="Garamond"/>
          <w:sz w:val="24"/>
          <w:szCs w:val="24"/>
        </w:rPr>
        <w:t>of qualification</w:t>
      </w:r>
      <w:r w:rsidR="00631F94">
        <w:rPr>
          <w:rFonts w:ascii="Garamond" w:hAnsi="Garamond"/>
          <w:sz w:val="24"/>
          <w:szCs w:val="24"/>
        </w:rPr>
        <w:t xml:space="preserve">. For example, in the Spanish league an extra spot will </w:t>
      </w:r>
      <w:r w:rsidR="00FF64AF">
        <w:rPr>
          <w:rFonts w:ascii="Garamond" w:hAnsi="Garamond"/>
          <w:sz w:val="24"/>
          <w:szCs w:val="24"/>
        </w:rPr>
        <w:t>not directly</w:t>
      </w:r>
      <w:r w:rsidR="00631F94">
        <w:rPr>
          <w:rFonts w:ascii="Garamond" w:hAnsi="Garamond"/>
          <w:sz w:val="24"/>
          <w:szCs w:val="24"/>
        </w:rPr>
        <w:t xml:space="preserve"> change the </w:t>
      </w:r>
      <w:r w:rsidR="00FF64AF">
        <w:rPr>
          <w:rFonts w:ascii="Garamond" w:hAnsi="Garamond"/>
          <w:sz w:val="24"/>
          <w:szCs w:val="24"/>
        </w:rPr>
        <w:t xml:space="preserve">investment </w:t>
      </w:r>
      <w:r w:rsidR="00631F94">
        <w:rPr>
          <w:rFonts w:ascii="Garamond" w:hAnsi="Garamond"/>
          <w:sz w:val="24"/>
          <w:szCs w:val="24"/>
        </w:rPr>
        <w:t>decisions of either Real Madrid or Barcelona</w:t>
      </w:r>
      <w:r w:rsidR="00FF64AF">
        <w:rPr>
          <w:rFonts w:ascii="Garamond" w:hAnsi="Garamond"/>
          <w:sz w:val="24"/>
          <w:szCs w:val="24"/>
        </w:rPr>
        <w:t xml:space="preserve">, the teams whose performance most influences Spain’s coefficient. Any incentive effect will instead be concentrated on the </w:t>
      </w:r>
      <w:r w:rsidR="002772DE">
        <w:rPr>
          <w:rFonts w:ascii="Garamond" w:hAnsi="Garamond"/>
          <w:sz w:val="24"/>
          <w:szCs w:val="24"/>
        </w:rPr>
        <w:t>decisions of the teams just below the</w:t>
      </w:r>
      <w:r w:rsidR="00FF64AF">
        <w:rPr>
          <w:rFonts w:ascii="Garamond" w:hAnsi="Garamond"/>
          <w:sz w:val="24"/>
          <w:szCs w:val="24"/>
        </w:rPr>
        <w:t>se</w:t>
      </w:r>
      <w:r w:rsidR="002772DE">
        <w:rPr>
          <w:rFonts w:ascii="Garamond" w:hAnsi="Garamond"/>
          <w:sz w:val="24"/>
          <w:szCs w:val="24"/>
        </w:rPr>
        <w:t xml:space="preserve"> such as Atletico de Madrid or Real Sociedad.</w:t>
      </w:r>
      <w:r w:rsidR="00654141">
        <w:rPr>
          <w:rFonts w:ascii="Garamond" w:hAnsi="Garamond"/>
          <w:sz w:val="24"/>
          <w:szCs w:val="24"/>
        </w:rPr>
        <w:t xml:space="preserve"> In a given calendar year, teams are restricted to just two opportunities to engage in player trades for cash (transfers).</w:t>
      </w:r>
      <w:r w:rsidR="00654141">
        <w:rPr>
          <w:rStyle w:val="FootnoteReference"/>
          <w:rFonts w:ascii="Garamond" w:hAnsi="Garamond"/>
          <w:sz w:val="24"/>
          <w:szCs w:val="24"/>
        </w:rPr>
        <w:footnoteReference w:id="2"/>
      </w:r>
      <w:r w:rsidR="00654141">
        <w:rPr>
          <w:rFonts w:ascii="Garamond" w:hAnsi="Garamond"/>
          <w:sz w:val="24"/>
          <w:szCs w:val="24"/>
        </w:rPr>
        <w:t xml:space="preserve"> These opportunities, known as </w:t>
      </w:r>
      <w:r w:rsidR="00654141">
        <w:rPr>
          <w:rFonts w:ascii="Garamond" w:hAnsi="Garamond"/>
          <w:sz w:val="24"/>
          <w:szCs w:val="24"/>
        </w:rPr>
        <w:lastRenderedPageBreak/>
        <w:t xml:space="preserve">transfer windows comprise July and August, mostly before the next season starts, and January, half way through the season in most European countries. Most transfers occur in the close season. This is when teams can release and hire players in a process of team rebuilding.  New contracts for existing players can be signed at any time but again tend to be settled in the close season. </w:t>
      </w:r>
    </w:p>
    <w:p w:rsidR="003F2F46" w:rsidRDefault="003F2F46" w:rsidP="008A6D87">
      <w:pPr>
        <w:spacing w:line="480" w:lineRule="auto"/>
        <w:jc w:val="both"/>
        <w:rPr>
          <w:rFonts w:ascii="Garamond" w:hAnsi="Garamond"/>
          <w:sz w:val="24"/>
          <w:szCs w:val="24"/>
        </w:rPr>
      </w:pPr>
      <w:r>
        <w:rPr>
          <w:rFonts w:ascii="Garamond" w:hAnsi="Garamond"/>
          <w:sz w:val="24"/>
          <w:szCs w:val="24"/>
        </w:rPr>
        <w:tab/>
        <w:t>In line with previous literature we predicted that teams with higher pa</w:t>
      </w:r>
      <w:r w:rsidR="00194257">
        <w:rPr>
          <w:rFonts w:ascii="Garamond" w:hAnsi="Garamond"/>
          <w:sz w:val="24"/>
          <w:szCs w:val="24"/>
        </w:rPr>
        <w:t>yrolls will achieve higher l</w:t>
      </w:r>
      <w:r>
        <w:rPr>
          <w:rFonts w:ascii="Garamond" w:hAnsi="Garamond"/>
          <w:sz w:val="24"/>
          <w:szCs w:val="24"/>
        </w:rPr>
        <w:t>eague positions, ceteris paribus, and will have greater probability of gaining entry into the Champions’ League. Simmons and Forrest (2004) and Frick (2013) offer evidence in support of this proposition for a number of European foot</w:t>
      </w:r>
      <w:r w:rsidR="00194257">
        <w:rPr>
          <w:rFonts w:ascii="Garamond" w:hAnsi="Garamond"/>
          <w:sz w:val="24"/>
          <w:szCs w:val="24"/>
        </w:rPr>
        <w:t>ball l</w:t>
      </w:r>
      <w:r>
        <w:rPr>
          <w:rFonts w:ascii="Garamond" w:hAnsi="Garamond"/>
          <w:sz w:val="24"/>
          <w:szCs w:val="24"/>
        </w:rPr>
        <w:t xml:space="preserve">eagues. Szymanski (2013) shows that teams that have greater spending on transfer fees </w:t>
      </w:r>
      <w:r w:rsidR="00194257">
        <w:rPr>
          <w:rFonts w:ascii="Garamond" w:hAnsi="Garamond"/>
          <w:sz w:val="24"/>
          <w:szCs w:val="24"/>
        </w:rPr>
        <w:t>also have higher l</w:t>
      </w:r>
      <w:r w:rsidR="00520B24">
        <w:rPr>
          <w:rFonts w:ascii="Garamond" w:hAnsi="Garamond"/>
          <w:sz w:val="24"/>
          <w:szCs w:val="24"/>
        </w:rPr>
        <w:t>eague positions. The team valuations that we use are based on</w:t>
      </w:r>
      <w:r w:rsidR="00654141">
        <w:rPr>
          <w:rFonts w:ascii="Garamond" w:hAnsi="Garamond"/>
          <w:sz w:val="24"/>
          <w:szCs w:val="24"/>
        </w:rPr>
        <w:t xml:space="preserve"> independent</w:t>
      </w:r>
      <w:r w:rsidR="00520B24">
        <w:rPr>
          <w:rFonts w:ascii="Garamond" w:hAnsi="Garamond"/>
          <w:sz w:val="24"/>
          <w:szCs w:val="24"/>
        </w:rPr>
        <w:t xml:space="preserve"> expert assessments of individual player values, and incorporate potential transfer fees. Frick (2011) argues that these market valuations are proportional to a subset of observed player salaries in the Bundesliga and we expect this proportionality to hold across European </w:t>
      </w:r>
      <w:r w:rsidR="00194257">
        <w:rPr>
          <w:rFonts w:ascii="Garamond" w:hAnsi="Garamond"/>
          <w:sz w:val="24"/>
          <w:szCs w:val="24"/>
        </w:rPr>
        <w:t>l</w:t>
      </w:r>
      <w:r w:rsidR="00520B24">
        <w:rPr>
          <w:rFonts w:ascii="Garamond" w:hAnsi="Garamond"/>
          <w:sz w:val="24"/>
          <w:szCs w:val="24"/>
        </w:rPr>
        <w:t xml:space="preserve">eagues. </w:t>
      </w:r>
      <w:r w:rsidR="00520B24">
        <w:rPr>
          <w:rStyle w:val="FootnoteReference"/>
          <w:rFonts w:ascii="Garamond" w:hAnsi="Garamond"/>
          <w:sz w:val="24"/>
          <w:szCs w:val="24"/>
        </w:rPr>
        <w:footnoteReference w:id="3"/>
      </w:r>
    </w:p>
    <w:p w:rsidR="00942BFE" w:rsidRDefault="002772DE" w:rsidP="002F0529">
      <w:pPr>
        <w:spacing w:line="480" w:lineRule="auto"/>
        <w:rPr>
          <w:rFonts w:ascii="Garamond" w:hAnsi="Garamond"/>
          <w:sz w:val="24"/>
          <w:szCs w:val="24"/>
        </w:rPr>
      </w:pPr>
      <w:r>
        <w:rPr>
          <w:rFonts w:ascii="Garamond" w:hAnsi="Garamond"/>
          <w:sz w:val="24"/>
          <w:szCs w:val="24"/>
        </w:rPr>
        <w:t xml:space="preserve"> Thus, our main specification estimates the following equatio</w:t>
      </w:r>
      <w:r w:rsidR="002F0529">
        <w:rPr>
          <w:rFonts w:ascii="Garamond" w:hAnsi="Garamond"/>
          <w:sz w:val="24"/>
          <w:szCs w:val="24"/>
        </w:rPr>
        <w:t>n:</w:t>
      </w:r>
    </w:p>
    <w:p w:rsidR="00D55BF3" w:rsidRDefault="00B17DD3" w:rsidP="002772DE">
      <w:pPr>
        <w:spacing w:line="480" w:lineRule="auto"/>
        <w:jc w:val="center"/>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I</m:t>
              </m:r>
            </m:e>
            <m:sub>
              <m:r>
                <w:rPr>
                  <w:rFonts w:ascii="Cambria Math" w:eastAsiaTheme="minorEastAsia" w:hAnsi="Cambria Math"/>
                  <w:sz w:val="24"/>
                  <w:szCs w:val="24"/>
                </w:rPr>
                <m:t>it-1</m:t>
              </m:r>
            </m:sub>
            <m:sup>
              <m:r>
                <w:rPr>
                  <w:rFonts w:ascii="Cambria Math" w:eastAsiaTheme="minorEastAsia" w:hAnsi="Cambria Math"/>
                  <w:sz w:val="24"/>
                  <w:szCs w:val="24"/>
                </w:rPr>
                <m:t>1-2</m:t>
              </m:r>
            </m:sup>
          </m:sSubSup>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I</m:t>
              </m:r>
            </m:e>
            <m:sub>
              <m:r>
                <w:rPr>
                  <w:rFonts w:ascii="Cambria Math" w:eastAsiaTheme="minorEastAsia" w:hAnsi="Cambria Math"/>
                  <w:sz w:val="24"/>
                  <w:szCs w:val="24"/>
                </w:rPr>
                <m:t>it-1</m:t>
              </m:r>
            </m:sub>
            <m:sup>
              <m:r>
                <w:rPr>
                  <w:rFonts w:ascii="Cambria Math" w:eastAsiaTheme="minorEastAsia" w:hAnsi="Cambria Math"/>
                  <w:sz w:val="24"/>
                  <w:szCs w:val="24"/>
                </w:rPr>
                <m:t>1-2</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CH</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3</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I</m:t>
              </m:r>
            </m:e>
            <m:sub>
              <m:r>
                <w:rPr>
                  <w:rFonts w:ascii="Cambria Math" w:eastAsiaTheme="minorEastAsia" w:hAnsi="Cambria Math"/>
                  <w:sz w:val="24"/>
                  <w:szCs w:val="24"/>
                </w:rPr>
                <m:t>it-1</m:t>
              </m:r>
            </m:sub>
            <m:sup>
              <m:r>
                <w:rPr>
                  <w:rFonts w:ascii="Cambria Math" w:eastAsiaTheme="minorEastAsia" w:hAnsi="Cambria Math"/>
                  <w:sz w:val="24"/>
                  <w:szCs w:val="24"/>
                </w:rPr>
                <m:t>3-5</m:t>
              </m:r>
            </m:sup>
          </m:sSubSup>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4</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I</m:t>
              </m:r>
            </m:e>
            <m:sub>
              <m:r>
                <w:rPr>
                  <w:rFonts w:ascii="Cambria Math" w:eastAsiaTheme="minorEastAsia" w:hAnsi="Cambria Math"/>
                  <w:sz w:val="24"/>
                  <w:szCs w:val="24"/>
                </w:rPr>
                <m:t>it-1</m:t>
              </m:r>
            </m:sub>
            <m:sup>
              <m:r>
                <w:rPr>
                  <w:rFonts w:ascii="Cambria Math" w:eastAsiaTheme="minorEastAsia" w:hAnsi="Cambria Math"/>
                  <w:sz w:val="24"/>
                  <w:szCs w:val="24"/>
                </w:rPr>
                <m:t>3-5</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CH</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5</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I</m:t>
              </m:r>
            </m:e>
            <m:sub>
              <m:r>
                <w:rPr>
                  <w:rFonts w:ascii="Cambria Math" w:eastAsiaTheme="minorEastAsia" w:hAnsi="Cambria Math"/>
                  <w:sz w:val="24"/>
                  <w:szCs w:val="24"/>
                </w:rPr>
                <m:t>it-1</m:t>
              </m:r>
            </m:sub>
            <m:sup>
              <m:r>
                <w:rPr>
                  <w:rFonts w:ascii="Cambria Math" w:eastAsiaTheme="minorEastAsia" w:hAnsi="Cambria Math"/>
                  <w:sz w:val="24"/>
                  <w:szCs w:val="24"/>
                </w:rPr>
                <m:t>6+</m:t>
              </m:r>
            </m:sup>
          </m:sSubSup>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6</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I</m:t>
              </m:r>
            </m:e>
            <m:sub>
              <m:r>
                <w:rPr>
                  <w:rFonts w:ascii="Cambria Math" w:eastAsiaTheme="minorEastAsia" w:hAnsi="Cambria Math"/>
                  <w:sz w:val="24"/>
                  <w:szCs w:val="24"/>
                </w:rPr>
                <m:t>it-1</m:t>
              </m:r>
            </m:sub>
            <m:sup>
              <m:r>
                <w:rPr>
                  <w:rFonts w:ascii="Cambria Math" w:eastAsiaTheme="minorEastAsia" w:hAnsi="Cambria Math"/>
                  <w:sz w:val="24"/>
                  <w:szCs w:val="24"/>
                </w:rPr>
                <m:t>6+</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CH</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it</m:t>
              </m:r>
            </m:sub>
          </m:sSub>
        </m:oMath>
      </m:oMathPara>
    </w:p>
    <w:p w:rsidR="002772DE" w:rsidRPr="002772DE" w:rsidRDefault="002772DE" w:rsidP="002772DE">
      <w:pPr>
        <w:spacing w:line="480" w:lineRule="auto"/>
        <w:rPr>
          <w:rFonts w:ascii="Garamond" w:hAnsi="Garamond"/>
          <w:sz w:val="24"/>
          <w:szCs w:val="24"/>
        </w:rPr>
      </w:pPr>
      <w:r w:rsidRPr="002772DE">
        <w:rPr>
          <w:rFonts w:ascii="Garamond" w:hAnsi="Garamond"/>
          <w:sz w:val="24"/>
          <w:szCs w:val="24"/>
        </w:rPr>
        <w:t xml:space="preserve">where </w:t>
      </w:r>
      <w:r w:rsidRPr="002772DE">
        <w:rPr>
          <w:rFonts w:ascii="Garamond" w:hAnsi="Garamond"/>
          <w:i/>
          <w:sz w:val="24"/>
          <w:szCs w:val="24"/>
        </w:rPr>
        <w:t>P</w:t>
      </w:r>
      <w:r w:rsidRPr="002772DE">
        <w:rPr>
          <w:rFonts w:ascii="Garamond" w:hAnsi="Garamond"/>
          <w:i/>
          <w:sz w:val="24"/>
          <w:szCs w:val="24"/>
          <w:vertAlign w:val="subscript"/>
        </w:rPr>
        <w:t>iy</w:t>
      </w:r>
      <w:r w:rsidRPr="002772DE">
        <w:rPr>
          <w:rFonts w:ascii="Garamond" w:hAnsi="Garamond"/>
          <w:sz w:val="24"/>
          <w:szCs w:val="24"/>
        </w:rPr>
        <w:t xml:space="preserve"> is the response variabl</w:t>
      </w:r>
      <w:r>
        <w:rPr>
          <w:rFonts w:ascii="Garamond" w:hAnsi="Garamond"/>
          <w:sz w:val="24"/>
          <w:szCs w:val="24"/>
        </w:rPr>
        <w:t xml:space="preserve">e that measures total team's </w:t>
      </w:r>
      <w:r w:rsidRPr="002772DE">
        <w:rPr>
          <w:rFonts w:ascii="Garamond" w:hAnsi="Garamond"/>
          <w:i/>
          <w:sz w:val="24"/>
          <w:szCs w:val="24"/>
        </w:rPr>
        <w:t>i</w:t>
      </w:r>
      <w:r w:rsidRPr="002772DE">
        <w:rPr>
          <w:rFonts w:ascii="Garamond" w:hAnsi="Garamond"/>
          <w:sz w:val="24"/>
          <w:szCs w:val="24"/>
        </w:rPr>
        <w:t xml:space="preserve"> payroll in year </w:t>
      </w:r>
      <w:r w:rsidR="00EC1833">
        <w:rPr>
          <w:rFonts w:ascii="Garamond" w:hAnsi="Garamond"/>
          <w:sz w:val="24"/>
          <w:szCs w:val="24"/>
        </w:rPr>
        <w:t>t</w:t>
      </w:r>
      <w:r w:rsidR="002F0529">
        <w:rPr>
          <w:rFonts w:ascii="Garamond" w:hAnsi="Garamond"/>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I</m:t>
            </m:r>
          </m:e>
          <m:sub>
            <m:r>
              <w:rPr>
                <w:rFonts w:ascii="Cambria Math" w:eastAsiaTheme="minorEastAsia" w:hAnsi="Cambria Math"/>
                <w:sz w:val="24"/>
                <w:szCs w:val="24"/>
              </w:rPr>
              <m:t>it-1</m:t>
            </m:r>
          </m:sub>
          <m:sup>
            <m:r>
              <w:rPr>
                <w:rFonts w:ascii="Cambria Math" w:eastAsiaTheme="minorEastAsia" w:hAnsi="Cambria Math"/>
                <w:sz w:val="24"/>
                <w:szCs w:val="24"/>
              </w:rPr>
              <m:t>1-2</m:t>
            </m:r>
          </m:sup>
        </m:sSubSup>
      </m:oMath>
      <w:r w:rsidRPr="002772DE">
        <w:rPr>
          <w:rFonts w:ascii="Garamond" w:hAnsi="Garamond"/>
          <w:sz w:val="24"/>
          <w:szCs w:val="24"/>
        </w:rPr>
        <w:t xml:space="preserve"> represents that team </w:t>
      </w:r>
      <w:r w:rsidR="0013501D" w:rsidRPr="0013501D">
        <w:rPr>
          <w:rFonts w:ascii="Garamond" w:hAnsi="Garamond"/>
          <w:i/>
          <w:sz w:val="24"/>
          <w:szCs w:val="24"/>
        </w:rPr>
        <w:t>i</w:t>
      </w:r>
      <w:r w:rsidR="00520B24">
        <w:rPr>
          <w:rFonts w:ascii="Garamond" w:hAnsi="Garamond"/>
          <w:sz w:val="24"/>
          <w:szCs w:val="24"/>
        </w:rPr>
        <w:t xml:space="preserve"> finished in the top two spo</w:t>
      </w:r>
      <w:r w:rsidRPr="002772DE">
        <w:rPr>
          <w:rFonts w:ascii="Garamond" w:hAnsi="Garamond"/>
          <w:sz w:val="24"/>
          <w:szCs w:val="24"/>
        </w:rPr>
        <w:t xml:space="preserve">ts in year </w:t>
      </w:r>
      <w:r w:rsidR="0013501D" w:rsidRPr="0013501D">
        <w:rPr>
          <w:rFonts w:ascii="Garamond" w:hAnsi="Garamond"/>
          <w:i/>
          <w:sz w:val="24"/>
          <w:szCs w:val="24"/>
        </w:rPr>
        <w:t>y-1</w:t>
      </w:r>
      <w:r w:rsidR="002F0529">
        <w:rPr>
          <w:rFonts w:ascii="Garamond" w:hAnsi="Garamond"/>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I</m:t>
            </m:r>
          </m:e>
          <m:sub>
            <m:r>
              <w:rPr>
                <w:rFonts w:ascii="Cambria Math" w:eastAsiaTheme="minorEastAsia" w:hAnsi="Cambria Math"/>
                <w:sz w:val="24"/>
                <w:szCs w:val="24"/>
              </w:rPr>
              <m:t>it-1</m:t>
            </m:r>
          </m:sub>
          <m:sup>
            <m:r>
              <w:rPr>
                <w:rFonts w:ascii="Cambria Math" w:eastAsiaTheme="minorEastAsia" w:hAnsi="Cambria Math"/>
                <w:sz w:val="24"/>
                <w:szCs w:val="24"/>
              </w:rPr>
              <m:t>3-5</m:t>
            </m:r>
          </m:sup>
        </m:sSubSup>
      </m:oMath>
      <w:r w:rsidR="0013501D">
        <w:rPr>
          <w:rFonts w:ascii="Garamond" w:hAnsi="Garamond"/>
          <w:sz w:val="24"/>
          <w:szCs w:val="24"/>
        </w:rPr>
        <w:t xml:space="preserve"> represents that team </w:t>
      </w:r>
      <w:r w:rsidR="0013501D" w:rsidRPr="0013501D">
        <w:rPr>
          <w:rFonts w:ascii="Garamond" w:hAnsi="Garamond"/>
          <w:i/>
          <w:sz w:val="24"/>
          <w:szCs w:val="24"/>
        </w:rPr>
        <w:t>i</w:t>
      </w:r>
      <w:r w:rsidRPr="002772DE">
        <w:rPr>
          <w:rFonts w:ascii="Garamond" w:hAnsi="Garamond"/>
          <w:sz w:val="24"/>
          <w:szCs w:val="24"/>
        </w:rPr>
        <w:t xml:space="preserve"> finished in either third, fourth or fifth place in </w:t>
      </w:r>
      <w:r w:rsidR="0013501D">
        <w:rPr>
          <w:rFonts w:ascii="Garamond" w:hAnsi="Garamond"/>
          <w:sz w:val="24"/>
          <w:szCs w:val="24"/>
        </w:rPr>
        <w:t xml:space="preserve">year </w:t>
      </w:r>
      <w:r w:rsidR="0013501D" w:rsidRPr="0013501D">
        <w:rPr>
          <w:rFonts w:ascii="Garamond" w:hAnsi="Garamond"/>
          <w:i/>
          <w:sz w:val="24"/>
          <w:szCs w:val="24"/>
        </w:rPr>
        <w:t>y-1</w:t>
      </w:r>
      <w:r w:rsidR="002F0529">
        <w:rPr>
          <w:rFonts w:ascii="Garamond" w:hAnsi="Garamond"/>
          <w:sz w:val="24"/>
          <w:szCs w:val="24"/>
        </w:rPr>
        <w:t xml:space="preserve">, and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I</m:t>
            </m:r>
          </m:e>
          <m:sub>
            <m:r>
              <w:rPr>
                <w:rFonts w:ascii="Cambria Math" w:eastAsiaTheme="minorEastAsia" w:hAnsi="Cambria Math"/>
                <w:sz w:val="24"/>
                <w:szCs w:val="24"/>
              </w:rPr>
              <m:t>it-1</m:t>
            </m:r>
          </m:sub>
          <m:sup>
            <m:r>
              <w:rPr>
                <w:rFonts w:ascii="Cambria Math" w:eastAsiaTheme="minorEastAsia" w:hAnsi="Cambria Math"/>
                <w:sz w:val="24"/>
                <w:szCs w:val="24"/>
              </w:rPr>
              <m:t>6+</m:t>
            </m:r>
          </m:sup>
        </m:sSubSup>
      </m:oMath>
      <w:r w:rsidR="0013501D">
        <w:rPr>
          <w:rFonts w:ascii="Garamond" w:hAnsi="Garamond"/>
          <w:sz w:val="24"/>
          <w:szCs w:val="24"/>
        </w:rPr>
        <w:t xml:space="preserve"> represents that team </w:t>
      </w:r>
      <w:r w:rsidR="0013501D" w:rsidRPr="0013501D">
        <w:rPr>
          <w:rFonts w:ascii="Garamond" w:hAnsi="Garamond"/>
          <w:i/>
          <w:sz w:val="24"/>
          <w:szCs w:val="24"/>
        </w:rPr>
        <w:t>i</w:t>
      </w:r>
      <w:r w:rsidRPr="002772DE">
        <w:rPr>
          <w:rFonts w:ascii="Garamond" w:hAnsi="Garamond"/>
          <w:sz w:val="24"/>
          <w:szCs w:val="24"/>
        </w:rPr>
        <w:t xml:space="preserve"> finished outside the top 5 spots in year </w:t>
      </w:r>
      <w:r w:rsidR="0013501D" w:rsidRPr="0013501D">
        <w:rPr>
          <w:rFonts w:ascii="Garamond" w:hAnsi="Garamond"/>
          <w:i/>
          <w:sz w:val="24"/>
          <w:szCs w:val="24"/>
        </w:rPr>
        <w:t>y-1</w:t>
      </w:r>
      <w:r w:rsidR="002F0529">
        <w:rPr>
          <w:rFonts w:ascii="Garamond" w:hAnsi="Garamond"/>
          <w:sz w:val="24"/>
          <w:szCs w:val="24"/>
        </w:rPr>
        <w:t xml:space="preserve">. </w:t>
      </w:r>
      <w:r w:rsidR="002F0529" w:rsidRPr="00DD5E09">
        <w:rPr>
          <w:rFonts w:ascii="Garamond" w:hAnsi="Garamond"/>
          <w:i/>
          <w:sz w:val="24"/>
          <w:szCs w:val="24"/>
        </w:rPr>
        <w:t>CH</w:t>
      </w:r>
      <w:r w:rsidR="002F0529" w:rsidRPr="00DD5E09">
        <w:rPr>
          <w:rFonts w:ascii="Garamond" w:hAnsi="Garamond"/>
          <w:i/>
          <w:sz w:val="24"/>
          <w:szCs w:val="24"/>
          <w:vertAlign w:val="subscript"/>
        </w:rPr>
        <w:t>t</w:t>
      </w:r>
      <w:r w:rsidRPr="00DD5E09">
        <w:rPr>
          <w:rFonts w:ascii="Garamond" w:hAnsi="Garamond"/>
          <w:i/>
          <w:sz w:val="24"/>
          <w:szCs w:val="24"/>
        </w:rPr>
        <w:t xml:space="preserve"> </w:t>
      </w:r>
      <w:r w:rsidRPr="002772DE">
        <w:rPr>
          <w:rFonts w:ascii="Garamond" w:hAnsi="Garamond"/>
          <w:sz w:val="24"/>
          <w:szCs w:val="24"/>
        </w:rPr>
        <w:t xml:space="preserve">represents the number of spots </w:t>
      </w:r>
      <w:r w:rsidR="002F0529">
        <w:rPr>
          <w:rFonts w:ascii="Garamond" w:hAnsi="Garamond"/>
          <w:sz w:val="24"/>
          <w:szCs w:val="24"/>
        </w:rPr>
        <w:t>a team’s League has</w:t>
      </w:r>
      <w:r w:rsidRPr="002772DE">
        <w:rPr>
          <w:rFonts w:ascii="Garamond" w:hAnsi="Garamond"/>
          <w:sz w:val="24"/>
          <w:szCs w:val="24"/>
        </w:rPr>
        <w:t xml:space="preserve"> i</w:t>
      </w:r>
      <w:r w:rsidR="0013501D">
        <w:rPr>
          <w:rFonts w:ascii="Garamond" w:hAnsi="Garamond"/>
          <w:sz w:val="24"/>
          <w:szCs w:val="24"/>
        </w:rPr>
        <w:t xml:space="preserve">n the Champions </w:t>
      </w:r>
      <w:r w:rsidR="0013501D">
        <w:rPr>
          <w:rFonts w:ascii="Garamond" w:hAnsi="Garamond"/>
          <w:sz w:val="24"/>
          <w:szCs w:val="24"/>
        </w:rPr>
        <w:lastRenderedPageBreak/>
        <w:t xml:space="preserve">League in year </w:t>
      </w:r>
      <w:r w:rsidRPr="0013501D">
        <w:rPr>
          <w:rFonts w:ascii="Garamond" w:hAnsi="Garamond"/>
          <w:i/>
          <w:sz w:val="24"/>
          <w:szCs w:val="24"/>
        </w:rPr>
        <w:t>y</w:t>
      </w:r>
      <w:r w:rsidR="00774DB6">
        <w:rPr>
          <w:rStyle w:val="FootnoteReference"/>
          <w:rFonts w:ascii="Garamond" w:hAnsi="Garamond"/>
          <w:i/>
          <w:sz w:val="24"/>
          <w:szCs w:val="24"/>
        </w:rPr>
        <w:footnoteReference w:id="4"/>
      </w:r>
      <w:r w:rsidRPr="002772DE">
        <w:rPr>
          <w:rFonts w:ascii="Garamond" w:hAnsi="Garamond"/>
          <w:sz w:val="24"/>
          <w:szCs w:val="24"/>
        </w:rPr>
        <w:t xml:space="preserve">. </w:t>
      </w:r>
      <w:r w:rsidR="00970358">
        <w:rPr>
          <w:rFonts w:ascii="Garamond" w:hAnsi="Garamond"/>
          <w:sz w:val="24"/>
          <w:szCs w:val="24"/>
        </w:rPr>
        <w:t>This eq</w:t>
      </w:r>
      <w:r w:rsidR="002F0529">
        <w:rPr>
          <w:rFonts w:ascii="Garamond" w:hAnsi="Garamond"/>
          <w:sz w:val="24"/>
          <w:szCs w:val="24"/>
        </w:rPr>
        <w:t xml:space="preserve">uation is also estimated with </w:t>
      </w:r>
      <w:r w:rsidR="00970358">
        <w:rPr>
          <w:rFonts w:ascii="Garamond" w:hAnsi="Garamond"/>
          <w:sz w:val="24"/>
          <w:szCs w:val="24"/>
        </w:rPr>
        <w:t>team fixed effect</w:t>
      </w:r>
      <w:r w:rsidR="000308B6">
        <w:rPr>
          <w:rFonts w:ascii="Garamond" w:hAnsi="Garamond"/>
          <w:sz w:val="24"/>
          <w:szCs w:val="24"/>
        </w:rPr>
        <w:t>s</w:t>
      </w:r>
      <w:r w:rsidR="00970358">
        <w:rPr>
          <w:rFonts w:ascii="Garamond" w:hAnsi="Garamond"/>
          <w:sz w:val="24"/>
          <w:szCs w:val="24"/>
        </w:rPr>
        <w:t xml:space="preserve"> and </w:t>
      </w:r>
      <w:r w:rsidR="000308B6">
        <w:rPr>
          <w:rFonts w:ascii="Garamond" w:hAnsi="Garamond"/>
          <w:sz w:val="24"/>
          <w:szCs w:val="24"/>
        </w:rPr>
        <w:t>each observation is weighted by the inverse of the square root of the number of observations in each league.</w:t>
      </w:r>
    </w:p>
    <w:p w:rsidR="00795177" w:rsidRDefault="0013501D" w:rsidP="007379BD">
      <w:pPr>
        <w:spacing w:line="480" w:lineRule="auto"/>
        <w:jc w:val="both"/>
        <w:rPr>
          <w:rFonts w:ascii="Garamond" w:hAnsi="Garamond"/>
          <w:sz w:val="24"/>
          <w:szCs w:val="24"/>
        </w:rPr>
      </w:pPr>
      <w:r>
        <w:rPr>
          <w:rFonts w:ascii="Garamond" w:hAnsi="Garamond"/>
          <w:sz w:val="24"/>
          <w:szCs w:val="24"/>
        </w:rPr>
        <w:tab/>
        <w:t>In addition, instead of estimating how an extra spot in the Champions League changes team</w:t>
      </w:r>
      <w:r w:rsidR="00795177">
        <w:rPr>
          <w:rFonts w:ascii="Garamond" w:hAnsi="Garamond"/>
          <w:sz w:val="24"/>
          <w:szCs w:val="24"/>
        </w:rPr>
        <w:t>’s</w:t>
      </w:r>
      <w:r>
        <w:rPr>
          <w:rFonts w:ascii="Garamond" w:hAnsi="Garamond"/>
          <w:sz w:val="24"/>
          <w:szCs w:val="24"/>
        </w:rPr>
        <w:t xml:space="preserve"> incentives using the team’s absolut</w:t>
      </w:r>
      <w:r w:rsidR="007F76BD">
        <w:rPr>
          <w:rFonts w:ascii="Garamond" w:hAnsi="Garamond"/>
          <w:sz w:val="24"/>
          <w:szCs w:val="24"/>
        </w:rPr>
        <w:t>e</w:t>
      </w:r>
      <w:r>
        <w:rPr>
          <w:rFonts w:ascii="Garamond" w:hAnsi="Garamond"/>
          <w:sz w:val="24"/>
          <w:szCs w:val="24"/>
        </w:rPr>
        <w:t xml:space="preserve"> rankings we inst</w:t>
      </w:r>
      <w:r w:rsidR="00795177">
        <w:rPr>
          <w:rFonts w:ascii="Garamond" w:hAnsi="Garamond"/>
          <w:sz w:val="24"/>
          <w:szCs w:val="24"/>
        </w:rPr>
        <w:t>ead estimate a model that measures how far is each team at the beginning of each season from qualifying to the Champions League. To do so we estimate:</w:t>
      </w:r>
    </w:p>
    <w:p w:rsidR="00654141" w:rsidRPr="00606BE5" w:rsidRDefault="00654141" w:rsidP="002772DE">
      <w:pPr>
        <w:spacing w:line="480" w:lineRule="auto"/>
        <w:rPr>
          <w:rFonts w:ascii="Garamond" w:hAnsi="Garamond"/>
          <w:sz w:val="24"/>
          <w:szCs w:val="24"/>
        </w:rPr>
      </w:pPr>
      <w:r>
        <w:rPr>
          <w:rFonts w:ascii="Garamond" w:hAnsi="Garamond"/>
          <w:sz w:val="24"/>
          <w:szCs w:val="24"/>
        </w:rPr>
        <w:t xml:space="preserve">P = </w:t>
      </w:r>
      <w:r>
        <w:rPr>
          <w:rFonts w:ascii="Garamond" w:hAnsi="Garamond"/>
          <w:i/>
          <w:sz w:val="24"/>
          <w:szCs w:val="24"/>
        </w:rPr>
        <w:t>α</w:t>
      </w:r>
      <w:r>
        <w:rPr>
          <w:rFonts w:ascii="Garamond" w:hAnsi="Garamond"/>
          <w:sz w:val="24"/>
          <w:szCs w:val="24"/>
          <w:vertAlign w:val="subscript"/>
        </w:rPr>
        <w:t xml:space="preserve">0 </w:t>
      </w:r>
      <w:r>
        <w:rPr>
          <w:rFonts w:ascii="Garamond" w:hAnsi="Garamond"/>
          <w:sz w:val="24"/>
          <w:szCs w:val="24"/>
        </w:rPr>
        <w:t xml:space="preserve">+ </w:t>
      </w:r>
      <w:r w:rsidR="00606BE5">
        <w:rPr>
          <w:rFonts w:ascii="Garamond" w:hAnsi="Garamond"/>
          <w:i/>
          <w:sz w:val="24"/>
          <w:szCs w:val="24"/>
        </w:rPr>
        <w:t>α</w:t>
      </w:r>
      <w:r w:rsidR="00606BE5">
        <w:rPr>
          <w:rFonts w:ascii="Garamond" w:hAnsi="Garamond"/>
          <w:sz w:val="24"/>
          <w:szCs w:val="24"/>
          <w:vertAlign w:val="subscript"/>
        </w:rPr>
        <w:t>1</w:t>
      </w:r>
      <w:r w:rsidR="00606BE5">
        <w:rPr>
          <w:rFonts w:ascii="Garamond" w:hAnsi="Garamond"/>
          <w:i/>
          <w:sz w:val="24"/>
          <w:szCs w:val="24"/>
        </w:rPr>
        <w:t xml:space="preserve">Dev0 </w:t>
      </w:r>
      <w:r w:rsidR="00606BE5">
        <w:rPr>
          <w:rFonts w:ascii="Garamond" w:hAnsi="Garamond"/>
          <w:sz w:val="24"/>
          <w:szCs w:val="24"/>
        </w:rPr>
        <w:t xml:space="preserve">+ </w:t>
      </w:r>
      <w:r w:rsidR="00606BE5">
        <w:rPr>
          <w:rFonts w:ascii="Garamond" w:hAnsi="Garamond"/>
          <w:i/>
          <w:sz w:val="24"/>
          <w:szCs w:val="24"/>
        </w:rPr>
        <w:t>α</w:t>
      </w:r>
      <w:r w:rsidR="00606BE5">
        <w:rPr>
          <w:rFonts w:ascii="Garamond" w:hAnsi="Garamond"/>
          <w:sz w:val="24"/>
          <w:szCs w:val="24"/>
          <w:vertAlign w:val="subscript"/>
        </w:rPr>
        <w:t>2</w:t>
      </w:r>
      <w:r w:rsidR="00606BE5">
        <w:rPr>
          <w:rFonts w:ascii="Garamond" w:hAnsi="Garamond"/>
          <w:i/>
          <w:sz w:val="24"/>
          <w:szCs w:val="24"/>
        </w:rPr>
        <w:t xml:space="preserve">Dev1-3 </w:t>
      </w:r>
      <w:r w:rsidR="00606BE5">
        <w:rPr>
          <w:rFonts w:ascii="Garamond" w:hAnsi="Garamond"/>
          <w:sz w:val="24"/>
          <w:szCs w:val="24"/>
        </w:rPr>
        <w:t xml:space="preserve">+ </w:t>
      </w:r>
      <w:r w:rsidR="00606BE5">
        <w:rPr>
          <w:rFonts w:ascii="Garamond" w:hAnsi="Garamond"/>
          <w:i/>
          <w:sz w:val="24"/>
          <w:szCs w:val="24"/>
        </w:rPr>
        <w:t>α</w:t>
      </w:r>
      <w:r w:rsidR="00606BE5">
        <w:rPr>
          <w:rFonts w:ascii="Garamond" w:hAnsi="Garamond"/>
          <w:sz w:val="24"/>
          <w:szCs w:val="24"/>
          <w:vertAlign w:val="subscript"/>
        </w:rPr>
        <w:t>3</w:t>
      </w:r>
      <w:r w:rsidR="00606BE5">
        <w:rPr>
          <w:rFonts w:ascii="Garamond" w:hAnsi="Garamond"/>
          <w:i/>
          <w:sz w:val="24"/>
          <w:szCs w:val="24"/>
        </w:rPr>
        <w:t xml:space="preserve">Dev4-6 </w:t>
      </w:r>
      <w:r w:rsidR="00606BE5">
        <w:rPr>
          <w:rFonts w:ascii="Garamond" w:hAnsi="Garamond"/>
          <w:sz w:val="24"/>
          <w:szCs w:val="24"/>
        </w:rPr>
        <w:t xml:space="preserve">+ </w:t>
      </w:r>
      <w:r w:rsidR="00606BE5">
        <w:rPr>
          <w:rFonts w:ascii="Garamond" w:hAnsi="Garamond"/>
          <w:i/>
          <w:sz w:val="24"/>
          <w:szCs w:val="24"/>
        </w:rPr>
        <w:t>α</w:t>
      </w:r>
      <w:r w:rsidR="00606BE5">
        <w:rPr>
          <w:rFonts w:ascii="Garamond" w:hAnsi="Garamond"/>
          <w:sz w:val="24"/>
          <w:szCs w:val="24"/>
          <w:vertAlign w:val="subscript"/>
        </w:rPr>
        <w:t>4</w:t>
      </w:r>
      <w:r w:rsidR="00606BE5">
        <w:rPr>
          <w:rFonts w:ascii="Garamond" w:hAnsi="Garamond"/>
          <w:i/>
          <w:sz w:val="24"/>
          <w:szCs w:val="24"/>
        </w:rPr>
        <w:t>Dev6plus+ α</w:t>
      </w:r>
      <w:r w:rsidR="00606BE5">
        <w:rPr>
          <w:rFonts w:ascii="Garamond" w:hAnsi="Garamond"/>
          <w:sz w:val="24"/>
          <w:szCs w:val="24"/>
          <w:vertAlign w:val="subscript"/>
        </w:rPr>
        <w:t>5</w:t>
      </w:r>
      <w:r w:rsidR="00606BE5">
        <w:rPr>
          <w:rFonts w:ascii="Garamond" w:hAnsi="Garamond"/>
          <w:i/>
          <w:sz w:val="24"/>
          <w:szCs w:val="24"/>
        </w:rPr>
        <w:t xml:space="preserve">Dev0*Add1 </w:t>
      </w:r>
      <w:r w:rsidR="00606BE5">
        <w:rPr>
          <w:rFonts w:ascii="Garamond" w:hAnsi="Garamond"/>
          <w:sz w:val="24"/>
          <w:szCs w:val="24"/>
        </w:rPr>
        <w:t xml:space="preserve">+ </w:t>
      </w:r>
      <w:r w:rsidR="00606BE5">
        <w:rPr>
          <w:rFonts w:ascii="Garamond" w:hAnsi="Garamond"/>
          <w:i/>
          <w:sz w:val="24"/>
          <w:szCs w:val="24"/>
        </w:rPr>
        <w:t>α</w:t>
      </w:r>
      <w:r w:rsidR="00606BE5">
        <w:rPr>
          <w:rFonts w:ascii="Garamond" w:hAnsi="Garamond"/>
          <w:sz w:val="24"/>
          <w:szCs w:val="24"/>
          <w:vertAlign w:val="subscript"/>
        </w:rPr>
        <w:t>6</w:t>
      </w:r>
      <w:r w:rsidR="00606BE5">
        <w:rPr>
          <w:rFonts w:ascii="Garamond" w:hAnsi="Garamond"/>
          <w:i/>
          <w:sz w:val="24"/>
          <w:szCs w:val="24"/>
        </w:rPr>
        <w:t xml:space="preserve">Dev1-3*Add1 </w:t>
      </w:r>
      <w:r w:rsidR="00606BE5">
        <w:rPr>
          <w:rFonts w:ascii="Garamond" w:hAnsi="Garamond"/>
          <w:sz w:val="24"/>
          <w:szCs w:val="24"/>
        </w:rPr>
        <w:t xml:space="preserve">+ </w:t>
      </w:r>
      <w:r w:rsidR="00606BE5">
        <w:rPr>
          <w:rFonts w:ascii="Garamond" w:hAnsi="Garamond"/>
          <w:i/>
          <w:sz w:val="24"/>
          <w:szCs w:val="24"/>
        </w:rPr>
        <w:t>α</w:t>
      </w:r>
      <w:r w:rsidR="00606BE5">
        <w:rPr>
          <w:rFonts w:ascii="Garamond" w:hAnsi="Garamond"/>
          <w:sz w:val="24"/>
          <w:szCs w:val="24"/>
          <w:vertAlign w:val="subscript"/>
        </w:rPr>
        <w:t>7</w:t>
      </w:r>
      <w:r w:rsidR="00606BE5">
        <w:rPr>
          <w:rFonts w:ascii="Garamond" w:hAnsi="Garamond"/>
          <w:i/>
          <w:sz w:val="24"/>
          <w:szCs w:val="24"/>
        </w:rPr>
        <w:t xml:space="preserve">Dev4-6*Add1 </w:t>
      </w:r>
      <w:r w:rsidR="00606BE5">
        <w:rPr>
          <w:rFonts w:ascii="Garamond" w:hAnsi="Garamond"/>
          <w:sz w:val="24"/>
          <w:szCs w:val="24"/>
        </w:rPr>
        <w:t xml:space="preserve">+ </w:t>
      </w:r>
      <w:r w:rsidR="00606BE5">
        <w:rPr>
          <w:rFonts w:ascii="Garamond" w:hAnsi="Garamond"/>
          <w:i/>
          <w:sz w:val="24"/>
          <w:szCs w:val="24"/>
        </w:rPr>
        <w:t>α</w:t>
      </w:r>
      <w:r w:rsidR="00606BE5">
        <w:rPr>
          <w:rFonts w:ascii="Garamond" w:hAnsi="Garamond"/>
          <w:sz w:val="24"/>
          <w:szCs w:val="24"/>
          <w:vertAlign w:val="subscript"/>
        </w:rPr>
        <w:t>8</w:t>
      </w:r>
      <w:r w:rsidR="00606BE5">
        <w:rPr>
          <w:rFonts w:ascii="Garamond" w:hAnsi="Garamond"/>
          <w:i/>
          <w:sz w:val="24"/>
          <w:szCs w:val="24"/>
        </w:rPr>
        <w:t xml:space="preserve">Dev6plus*Add1 </w:t>
      </w:r>
      <w:r w:rsidR="00606BE5">
        <w:rPr>
          <w:rFonts w:ascii="Garamond" w:hAnsi="Garamond"/>
          <w:sz w:val="24"/>
          <w:szCs w:val="24"/>
        </w:rPr>
        <w:t>+</w:t>
      </w:r>
      <w:r w:rsidR="00606BE5">
        <w:rPr>
          <w:rFonts w:ascii="Garamond" w:hAnsi="Garamond"/>
          <w:i/>
          <w:sz w:val="24"/>
          <w:szCs w:val="24"/>
        </w:rPr>
        <w:t xml:space="preserve"> α</w:t>
      </w:r>
      <w:r w:rsidR="00606BE5">
        <w:rPr>
          <w:rFonts w:ascii="Garamond" w:hAnsi="Garamond"/>
          <w:sz w:val="24"/>
          <w:szCs w:val="24"/>
          <w:vertAlign w:val="subscript"/>
        </w:rPr>
        <w:t>9</w:t>
      </w:r>
      <w:r w:rsidR="00606BE5">
        <w:rPr>
          <w:rFonts w:ascii="Garamond" w:hAnsi="Garamond"/>
          <w:i/>
          <w:sz w:val="24"/>
          <w:szCs w:val="24"/>
        </w:rPr>
        <w:t xml:space="preserve">Dev0*Minus1 </w:t>
      </w:r>
      <w:r w:rsidR="00606BE5">
        <w:rPr>
          <w:rFonts w:ascii="Garamond" w:hAnsi="Garamond"/>
          <w:sz w:val="24"/>
          <w:szCs w:val="24"/>
        </w:rPr>
        <w:t xml:space="preserve">+ </w:t>
      </w:r>
      <w:r w:rsidR="00606BE5">
        <w:rPr>
          <w:rFonts w:ascii="Garamond" w:hAnsi="Garamond"/>
          <w:i/>
          <w:sz w:val="24"/>
          <w:szCs w:val="24"/>
        </w:rPr>
        <w:t>α</w:t>
      </w:r>
      <w:r w:rsidR="00606BE5">
        <w:rPr>
          <w:rFonts w:ascii="Garamond" w:hAnsi="Garamond"/>
          <w:sz w:val="24"/>
          <w:szCs w:val="24"/>
          <w:vertAlign w:val="subscript"/>
        </w:rPr>
        <w:t>10</w:t>
      </w:r>
      <w:r w:rsidR="00606BE5">
        <w:rPr>
          <w:rFonts w:ascii="Garamond" w:hAnsi="Garamond"/>
          <w:i/>
          <w:sz w:val="24"/>
          <w:szCs w:val="24"/>
        </w:rPr>
        <w:t xml:space="preserve">Dev1-3*Minus1 </w:t>
      </w:r>
      <w:r w:rsidR="00606BE5">
        <w:rPr>
          <w:rFonts w:ascii="Garamond" w:hAnsi="Garamond"/>
          <w:sz w:val="24"/>
          <w:szCs w:val="24"/>
        </w:rPr>
        <w:t xml:space="preserve">+ </w:t>
      </w:r>
      <w:r w:rsidR="00606BE5">
        <w:rPr>
          <w:rFonts w:ascii="Garamond" w:hAnsi="Garamond"/>
          <w:i/>
          <w:sz w:val="24"/>
          <w:szCs w:val="24"/>
        </w:rPr>
        <w:t>α</w:t>
      </w:r>
      <w:r w:rsidR="00606BE5">
        <w:rPr>
          <w:rFonts w:ascii="Garamond" w:hAnsi="Garamond"/>
          <w:sz w:val="24"/>
          <w:szCs w:val="24"/>
          <w:vertAlign w:val="subscript"/>
        </w:rPr>
        <w:t>11</w:t>
      </w:r>
      <w:r w:rsidR="00606BE5">
        <w:rPr>
          <w:rFonts w:ascii="Garamond" w:hAnsi="Garamond"/>
          <w:i/>
          <w:sz w:val="24"/>
          <w:szCs w:val="24"/>
        </w:rPr>
        <w:t xml:space="preserve">Dev4-6*Minus1 </w:t>
      </w:r>
      <w:r w:rsidR="00606BE5">
        <w:rPr>
          <w:rFonts w:ascii="Garamond" w:hAnsi="Garamond"/>
          <w:sz w:val="24"/>
          <w:szCs w:val="24"/>
        </w:rPr>
        <w:t xml:space="preserve">+ </w:t>
      </w:r>
      <w:r w:rsidR="00606BE5">
        <w:rPr>
          <w:rFonts w:ascii="Garamond" w:hAnsi="Garamond"/>
          <w:i/>
          <w:sz w:val="24"/>
          <w:szCs w:val="24"/>
        </w:rPr>
        <w:t>α</w:t>
      </w:r>
      <w:r w:rsidR="00606BE5">
        <w:rPr>
          <w:rFonts w:ascii="Garamond" w:hAnsi="Garamond"/>
          <w:sz w:val="24"/>
          <w:szCs w:val="24"/>
          <w:vertAlign w:val="subscript"/>
        </w:rPr>
        <w:t>12</w:t>
      </w:r>
      <w:r w:rsidR="00606BE5">
        <w:rPr>
          <w:rFonts w:ascii="Garamond" w:hAnsi="Garamond"/>
          <w:i/>
          <w:sz w:val="24"/>
          <w:szCs w:val="24"/>
        </w:rPr>
        <w:t xml:space="preserve">Dev6plus*Minus 1 </w:t>
      </w:r>
      <w:r w:rsidR="00606BE5">
        <w:rPr>
          <w:rFonts w:ascii="Garamond" w:hAnsi="Garamond"/>
          <w:sz w:val="24"/>
          <w:szCs w:val="24"/>
        </w:rPr>
        <w:t xml:space="preserve">+ </w:t>
      </w:r>
      <w:r w:rsidR="00606BE5">
        <w:rPr>
          <w:rFonts w:ascii="Garamond" w:hAnsi="Garamond"/>
          <w:i/>
          <w:sz w:val="24"/>
          <w:szCs w:val="24"/>
        </w:rPr>
        <w:t xml:space="preserve">u   </w:t>
      </w:r>
    </w:p>
    <w:p w:rsidR="000656E6" w:rsidRPr="006B3CA9" w:rsidRDefault="00AE3B3B" w:rsidP="006B3CA9">
      <w:pPr>
        <w:spacing w:line="480" w:lineRule="auto"/>
        <w:jc w:val="both"/>
        <w:rPr>
          <w:rFonts w:ascii="Garamond" w:hAnsi="Garamond"/>
          <w:sz w:val="24"/>
          <w:szCs w:val="24"/>
        </w:rPr>
      </w:pPr>
      <w:r>
        <w:rPr>
          <w:rFonts w:ascii="Garamond" w:hAnsi="Garamond"/>
          <w:sz w:val="24"/>
          <w:szCs w:val="24"/>
        </w:rPr>
        <w:t xml:space="preserve">where </w:t>
      </w:r>
      <w:r w:rsidRPr="00AE3B3B">
        <w:rPr>
          <w:rFonts w:ascii="Garamond" w:hAnsi="Garamond"/>
          <w:i/>
          <w:sz w:val="24"/>
          <w:szCs w:val="24"/>
        </w:rPr>
        <w:t>Dev0</w:t>
      </w:r>
      <w:r>
        <w:rPr>
          <w:rFonts w:ascii="Garamond" w:hAnsi="Garamond"/>
          <w:sz w:val="24"/>
          <w:szCs w:val="24"/>
        </w:rPr>
        <w:t xml:space="preserve"> stands for a variable that takes a value of one for teams that qualified to the Champions</w:t>
      </w:r>
      <w:r w:rsidR="00970358">
        <w:rPr>
          <w:rFonts w:ascii="Garamond" w:hAnsi="Garamond"/>
          <w:sz w:val="24"/>
          <w:szCs w:val="24"/>
        </w:rPr>
        <w:t xml:space="preserve"> League</w:t>
      </w:r>
      <w:r>
        <w:rPr>
          <w:rFonts w:ascii="Garamond" w:hAnsi="Garamond"/>
          <w:sz w:val="24"/>
          <w:szCs w:val="24"/>
        </w:rPr>
        <w:t xml:space="preserve"> last year, </w:t>
      </w:r>
      <w:r w:rsidRPr="00AE3B3B">
        <w:rPr>
          <w:rFonts w:ascii="Garamond" w:hAnsi="Garamond"/>
          <w:i/>
          <w:sz w:val="24"/>
          <w:szCs w:val="24"/>
        </w:rPr>
        <w:t>Dev1-</w:t>
      </w:r>
      <w:r w:rsidR="00970358">
        <w:rPr>
          <w:rFonts w:ascii="Garamond" w:hAnsi="Garamond"/>
          <w:i/>
          <w:sz w:val="24"/>
          <w:szCs w:val="24"/>
        </w:rPr>
        <w:t>3</w:t>
      </w:r>
      <w:r>
        <w:rPr>
          <w:rFonts w:ascii="Garamond" w:hAnsi="Garamond"/>
          <w:sz w:val="24"/>
          <w:szCs w:val="24"/>
        </w:rPr>
        <w:t xml:space="preserve"> is a variable that takes a value of o</w:t>
      </w:r>
      <w:r w:rsidR="00970358">
        <w:rPr>
          <w:rFonts w:ascii="Garamond" w:hAnsi="Garamond"/>
          <w:sz w:val="24"/>
          <w:szCs w:val="24"/>
        </w:rPr>
        <w:t>ne for teams who finished one,</w:t>
      </w:r>
      <w:r>
        <w:rPr>
          <w:rFonts w:ascii="Garamond" w:hAnsi="Garamond"/>
          <w:sz w:val="24"/>
          <w:szCs w:val="24"/>
        </w:rPr>
        <w:t xml:space="preserve"> two </w:t>
      </w:r>
      <w:r w:rsidR="00970358">
        <w:rPr>
          <w:rFonts w:ascii="Garamond" w:hAnsi="Garamond"/>
          <w:sz w:val="24"/>
          <w:szCs w:val="24"/>
        </w:rPr>
        <w:t xml:space="preserve">or three </w:t>
      </w:r>
      <w:r>
        <w:rPr>
          <w:rFonts w:ascii="Garamond" w:hAnsi="Garamond"/>
          <w:sz w:val="24"/>
          <w:szCs w:val="24"/>
        </w:rPr>
        <w:t xml:space="preserve">places away from qualifying to the </w:t>
      </w:r>
      <w:r w:rsidR="00970358">
        <w:rPr>
          <w:rFonts w:ascii="Garamond" w:hAnsi="Garamond"/>
          <w:sz w:val="24"/>
          <w:szCs w:val="24"/>
        </w:rPr>
        <w:t xml:space="preserve">Champions League, </w:t>
      </w:r>
      <w:r w:rsidR="00970358" w:rsidRPr="001E4C5E">
        <w:rPr>
          <w:rFonts w:ascii="Garamond" w:hAnsi="Garamond"/>
          <w:i/>
          <w:sz w:val="24"/>
          <w:szCs w:val="24"/>
        </w:rPr>
        <w:t>Dev</w:t>
      </w:r>
      <w:r w:rsidR="00970358" w:rsidRPr="00970358">
        <w:rPr>
          <w:rFonts w:ascii="Garamond" w:hAnsi="Garamond"/>
          <w:i/>
          <w:sz w:val="24"/>
          <w:szCs w:val="24"/>
        </w:rPr>
        <w:t>4-6</w:t>
      </w:r>
      <w:r w:rsidR="00970358">
        <w:rPr>
          <w:rFonts w:ascii="Garamond" w:hAnsi="Garamond"/>
          <w:sz w:val="24"/>
          <w:szCs w:val="24"/>
        </w:rPr>
        <w:t xml:space="preserve"> is a variable that takes a value of one for teams that finished within four to six spots from the Champions League, and </w:t>
      </w:r>
      <w:r w:rsidR="00606BE5">
        <w:rPr>
          <w:rFonts w:ascii="Garamond" w:hAnsi="Garamond"/>
          <w:i/>
          <w:sz w:val="24"/>
          <w:szCs w:val="24"/>
        </w:rPr>
        <w:t>Dev6plus</w:t>
      </w:r>
      <w:r w:rsidR="00970358">
        <w:rPr>
          <w:rFonts w:ascii="Garamond" w:hAnsi="Garamond"/>
          <w:sz w:val="24"/>
          <w:szCs w:val="24"/>
        </w:rPr>
        <w:t xml:space="preserve"> takes a value of one if a team finished farther than sixth place from qualifying to the Champions League. </w:t>
      </w:r>
      <w:r w:rsidR="00970358" w:rsidRPr="00970358">
        <w:rPr>
          <w:rFonts w:ascii="Garamond" w:hAnsi="Garamond"/>
          <w:i/>
          <w:sz w:val="24"/>
          <w:szCs w:val="24"/>
        </w:rPr>
        <w:t>Add1</w:t>
      </w:r>
      <w:r w:rsidR="00970358">
        <w:rPr>
          <w:rFonts w:ascii="Garamond" w:hAnsi="Garamond"/>
          <w:sz w:val="24"/>
          <w:szCs w:val="24"/>
        </w:rPr>
        <w:t xml:space="preserve"> is a variable that takes a value of one if the team’s country </w:t>
      </w:r>
      <w:r w:rsidR="000308B6">
        <w:rPr>
          <w:rFonts w:ascii="Garamond" w:hAnsi="Garamond"/>
          <w:sz w:val="24"/>
          <w:szCs w:val="24"/>
        </w:rPr>
        <w:t xml:space="preserve">number of spots </w:t>
      </w:r>
      <w:r w:rsidR="00970358">
        <w:rPr>
          <w:rFonts w:ascii="Garamond" w:hAnsi="Garamond"/>
          <w:sz w:val="24"/>
          <w:szCs w:val="24"/>
        </w:rPr>
        <w:t xml:space="preserve">increased the in the Champions League, and </w:t>
      </w:r>
      <w:r w:rsidR="000308B6" w:rsidRPr="000308B6">
        <w:rPr>
          <w:rFonts w:ascii="Garamond" w:hAnsi="Garamond"/>
          <w:i/>
          <w:sz w:val="24"/>
          <w:szCs w:val="24"/>
        </w:rPr>
        <w:t>Minus1</w:t>
      </w:r>
      <w:r w:rsidR="000308B6">
        <w:rPr>
          <w:rFonts w:ascii="Garamond" w:hAnsi="Garamond"/>
          <w:sz w:val="24"/>
          <w:szCs w:val="24"/>
        </w:rPr>
        <w:t xml:space="preserve"> is a variable that takes a value of one if the team’s country number of spots in the Champions League</w:t>
      </w:r>
      <w:r w:rsidR="007A34AD">
        <w:rPr>
          <w:rFonts w:ascii="Garamond" w:hAnsi="Garamond"/>
          <w:sz w:val="24"/>
          <w:szCs w:val="24"/>
        </w:rPr>
        <w:t xml:space="preserve"> decreased</w:t>
      </w:r>
      <w:r w:rsidR="002807B0">
        <w:rPr>
          <w:rFonts w:ascii="Garamond" w:hAnsi="Garamond"/>
          <w:sz w:val="24"/>
          <w:szCs w:val="24"/>
        </w:rPr>
        <w:t xml:space="preserve">, while </w:t>
      </w:r>
      <w:r w:rsidR="002807B0">
        <w:rPr>
          <w:rFonts w:ascii="Garamond" w:hAnsi="Garamond"/>
          <w:i/>
          <w:sz w:val="24"/>
          <w:szCs w:val="24"/>
        </w:rPr>
        <w:t>u</w:t>
      </w:r>
      <w:r w:rsidR="002807B0">
        <w:rPr>
          <w:rFonts w:ascii="Garamond" w:hAnsi="Garamond"/>
          <w:sz w:val="24"/>
          <w:szCs w:val="24"/>
        </w:rPr>
        <w:t xml:space="preserve"> is a random error term.</w:t>
      </w:r>
      <w:r w:rsidR="007A34AD">
        <w:rPr>
          <w:rFonts w:ascii="Garamond" w:hAnsi="Garamond"/>
          <w:sz w:val="24"/>
          <w:szCs w:val="24"/>
        </w:rPr>
        <w:t xml:space="preserve"> As</w:t>
      </w:r>
      <w:r w:rsidR="00654141">
        <w:rPr>
          <w:rFonts w:ascii="Garamond" w:hAnsi="Garamond"/>
          <w:sz w:val="24"/>
          <w:szCs w:val="24"/>
        </w:rPr>
        <w:t xml:space="preserve"> with</w:t>
      </w:r>
      <w:r w:rsidR="007A34AD">
        <w:rPr>
          <w:rFonts w:ascii="Garamond" w:hAnsi="Garamond"/>
          <w:sz w:val="24"/>
          <w:szCs w:val="24"/>
        </w:rPr>
        <w:t xml:space="preserve"> equation 1, this</w:t>
      </w:r>
      <w:r w:rsidR="000308B6">
        <w:rPr>
          <w:rFonts w:ascii="Garamond" w:hAnsi="Garamond"/>
          <w:sz w:val="24"/>
          <w:szCs w:val="24"/>
        </w:rPr>
        <w:t xml:space="preserve"> equation is also estimated with a team fixed effects and each observation is</w:t>
      </w:r>
      <w:r w:rsidR="00774DB6">
        <w:rPr>
          <w:rFonts w:ascii="Garamond" w:hAnsi="Garamond"/>
          <w:sz w:val="24"/>
          <w:szCs w:val="24"/>
        </w:rPr>
        <w:t xml:space="preserve"> weighted by the inverse of </w:t>
      </w:r>
      <w:r w:rsidR="000308B6">
        <w:rPr>
          <w:rFonts w:ascii="Garamond" w:hAnsi="Garamond"/>
          <w:sz w:val="24"/>
          <w:szCs w:val="24"/>
        </w:rPr>
        <w:t>the number of observations in each league</w:t>
      </w:r>
      <w:r w:rsidR="006B3CA9">
        <w:rPr>
          <w:rFonts w:ascii="Garamond" w:hAnsi="Garamond"/>
          <w:sz w:val="24"/>
          <w:szCs w:val="24"/>
        </w:rPr>
        <w:t>.</w:t>
      </w:r>
    </w:p>
    <w:p w:rsidR="000656E6" w:rsidRPr="00032822" w:rsidRDefault="000656E6" w:rsidP="00032822">
      <w:pPr>
        <w:pStyle w:val="ListParagraph"/>
        <w:numPr>
          <w:ilvl w:val="0"/>
          <w:numId w:val="1"/>
        </w:numPr>
        <w:spacing w:line="480" w:lineRule="auto"/>
        <w:rPr>
          <w:rFonts w:ascii="Garamond" w:hAnsi="Garamond"/>
          <w:b/>
          <w:sz w:val="24"/>
          <w:szCs w:val="24"/>
        </w:rPr>
      </w:pPr>
      <w:r w:rsidRPr="00032822">
        <w:rPr>
          <w:rFonts w:ascii="Garamond" w:hAnsi="Garamond"/>
          <w:b/>
          <w:sz w:val="24"/>
          <w:szCs w:val="24"/>
        </w:rPr>
        <w:t>Results</w:t>
      </w:r>
    </w:p>
    <w:p w:rsidR="002D29AE" w:rsidRDefault="007A34AD" w:rsidP="007379BD">
      <w:pPr>
        <w:spacing w:line="480" w:lineRule="auto"/>
        <w:jc w:val="both"/>
        <w:rPr>
          <w:rFonts w:ascii="Garamond" w:hAnsi="Garamond"/>
          <w:sz w:val="24"/>
          <w:szCs w:val="24"/>
        </w:rPr>
      </w:pPr>
      <w:r>
        <w:rPr>
          <w:rFonts w:ascii="Garamond" w:hAnsi="Garamond"/>
          <w:sz w:val="24"/>
          <w:szCs w:val="24"/>
        </w:rPr>
        <w:lastRenderedPageBreak/>
        <w:tab/>
        <w:t>Estimates of equation (1) are presented in Table 2</w:t>
      </w:r>
      <w:r w:rsidR="001E4C5E">
        <w:rPr>
          <w:rFonts w:ascii="Garamond" w:hAnsi="Garamond"/>
          <w:sz w:val="24"/>
          <w:szCs w:val="24"/>
        </w:rPr>
        <w:t>. T</w:t>
      </w:r>
      <w:r w:rsidR="000656E6">
        <w:rPr>
          <w:rFonts w:ascii="Garamond" w:hAnsi="Garamond"/>
          <w:sz w:val="24"/>
          <w:szCs w:val="24"/>
        </w:rPr>
        <w:t>he first column presents estimates for all 14 countries together</w:t>
      </w:r>
      <w:r w:rsidR="00EF02DC">
        <w:rPr>
          <w:rFonts w:ascii="Garamond" w:hAnsi="Garamond"/>
          <w:sz w:val="24"/>
          <w:szCs w:val="24"/>
        </w:rPr>
        <w:t>, and includes team fixed effects</w:t>
      </w:r>
      <w:r w:rsidR="000656E6">
        <w:rPr>
          <w:rFonts w:ascii="Garamond" w:hAnsi="Garamond"/>
          <w:sz w:val="24"/>
          <w:szCs w:val="24"/>
        </w:rPr>
        <w:t xml:space="preserve">. </w:t>
      </w:r>
      <w:r w:rsidR="00523BF3">
        <w:rPr>
          <w:rFonts w:ascii="Garamond" w:hAnsi="Garamond"/>
          <w:sz w:val="24"/>
          <w:szCs w:val="24"/>
        </w:rPr>
        <w:t>Recall that the coefficients of interest are the interaction terms between place the team finished in the league last year and the number of spots that each league has in the Champions</w:t>
      </w:r>
      <w:r w:rsidR="001E4C5E">
        <w:rPr>
          <w:rFonts w:ascii="Garamond" w:hAnsi="Garamond"/>
          <w:sz w:val="24"/>
          <w:szCs w:val="24"/>
        </w:rPr>
        <w:t xml:space="preserve"> League</w:t>
      </w:r>
      <w:r w:rsidR="00523BF3">
        <w:rPr>
          <w:rFonts w:ascii="Garamond" w:hAnsi="Garamond"/>
          <w:sz w:val="24"/>
          <w:szCs w:val="24"/>
        </w:rPr>
        <w:t>. Also recall that the omitted category is all teams that finished either first or second.</w:t>
      </w:r>
      <w:r w:rsidR="007911B1">
        <w:rPr>
          <w:rFonts w:ascii="Garamond" w:hAnsi="Garamond"/>
          <w:sz w:val="24"/>
          <w:szCs w:val="24"/>
        </w:rPr>
        <w:t xml:space="preserve"> The results</w:t>
      </w:r>
      <w:r w:rsidR="001E4C5E">
        <w:rPr>
          <w:rFonts w:ascii="Garamond" w:hAnsi="Garamond"/>
          <w:sz w:val="24"/>
          <w:szCs w:val="24"/>
        </w:rPr>
        <w:t xml:space="preserve"> from column one suggest</w:t>
      </w:r>
      <w:r w:rsidR="00C123F4">
        <w:rPr>
          <w:rFonts w:ascii="Garamond" w:hAnsi="Garamond"/>
          <w:sz w:val="24"/>
          <w:szCs w:val="24"/>
        </w:rPr>
        <w:t xml:space="preserve"> that</w:t>
      </w:r>
      <w:r w:rsidR="007911B1">
        <w:rPr>
          <w:rFonts w:ascii="Garamond" w:hAnsi="Garamond"/>
          <w:sz w:val="24"/>
          <w:szCs w:val="24"/>
        </w:rPr>
        <w:t xml:space="preserve"> an increase in the number of spots each leag</w:t>
      </w:r>
      <w:r w:rsidR="00194257">
        <w:rPr>
          <w:rFonts w:ascii="Garamond" w:hAnsi="Garamond"/>
          <w:sz w:val="24"/>
          <w:szCs w:val="24"/>
        </w:rPr>
        <w:t>ue gets in the Champions League</w:t>
      </w:r>
      <w:r w:rsidR="00C123F4">
        <w:rPr>
          <w:rFonts w:ascii="Garamond" w:hAnsi="Garamond"/>
          <w:sz w:val="24"/>
          <w:szCs w:val="24"/>
        </w:rPr>
        <w:t xml:space="preserve"> </w:t>
      </w:r>
      <w:r w:rsidR="007911B1">
        <w:rPr>
          <w:rFonts w:ascii="Garamond" w:hAnsi="Garamond"/>
          <w:sz w:val="24"/>
          <w:szCs w:val="24"/>
        </w:rPr>
        <w:t>increases team payroll across all teams in the league</w:t>
      </w:r>
      <w:r w:rsidR="00C123F4">
        <w:rPr>
          <w:rFonts w:ascii="Garamond" w:hAnsi="Garamond"/>
          <w:sz w:val="24"/>
          <w:szCs w:val="24"/>
        </w:rPr>
        <w:t>.</w:t>
      </w:r>
      <w:r w:rsidR="00EF02DC">
        <w:rPr>
          <w:rFonts w:ascii="Garamond" w:hAnsi="Garamond"/>
          <w:sz w:val="24"/>
          <w:szCs w:val="24"/>
        </w:rPr>
        <w:t xml:space="preserve"> </w:t>
      </w:r>
      <w:r w:rsidR="00C123F4">
        <w:rPr>
          <w:rFonts w:ascii="Garamond" w:hAnsi="Garamond"/>
          <w:sz w:val="24"/>
          <w:szCs w:val="24"/>
        </w:rPr>
        <w:t>T</w:t>
      </w:r>
      <w:r w:rsidR="00EF02DC">
        <w:rPr>
          <w:rFonts w:ascii="Garamond" w:hAnsi="Garamond"/>
          <w:sz w:val="24"/>
          <w:szCs w:val="24"/>
        </w:rPr>
        <w:t xml:space="preserve">he magnitude is largest when the team finished the previous season within the seven top </w:t>
      </w:r>
      <w:r w:rsidR="00C123F4">
        <w:rPr>
          <w:rFonts w:ascii="Garamond" w:hAnsi="Garamond"/>
          <w:sz w:val="24"/>
          <w:szCs w:val="24"/>
        </w:rPr>
        <w:t>league spots</w:t>
      </w:r>
      <w:r w:rsidR="007911B1">
        <w:rPr>
          <w:rFonts w:ascii="Garamond" w:hAnsi="Garamond"/>
          <w:sz w:val="24"/>
          <w:szCs w:val="24"/>
        </w:rPr>
        <w:t>. One challenge of the results in Table 1 is that leagues differ not only in the number of spots they get for the Champions League, but also in other important dimensions such as the number of teams in the league, the market size of the teams in the league, or the distribution of payroll within the league. To control for this heterogeneity</w:t>
      </w:r>
      <w:r w:rsidR="001E4C5E">
        <w:rPr>
          <w:rFonts w:ascii="Garamond" w:hAnsi="Garamond"/>
          <w:sz w:val="24"/>
          <w:szCs w:val="24"/>
        </w:rPr>
        <w:t>,</w:t>
      </w:r>
      <w:r w:rsidR="007911B1">
        <w:rPr>
          <w:rFonts w:ascii="Garamond" w:hAnsi="Garamond"/>
          <w:sz w:val="24"/>
          <w:szCs w:val="24"/>
        </w:rPr>
        <w:t xml:space="preserve"> </w:t>
      </w:r>
      <w:r w:rsidR="00EF02DC">
        <w:rPr>
          <w:rFonts w:ascii="Garamond" w:hAnsi="Garamond"/>
          <w:sz w:val="24"/>
          <w:szCs w:val="24"/>
        </w:rPr>
        <w:t xml:space="preserve">column </w:t>
      </w:r>
      <w:r w:rsidR="007911B1">
        <w:rPr>
          <w:rFonts w:ascii="Garamond" w:hAnsi="Garamond"/>
          <w:sz w:val="24"/>
          <w:szCs w:val="24"/>
        </w:rPr>
        <w:t>2 instead presents the estimates of equation (1)</w:t>
      </w:r>
      <w:r w:rsidR="00EF02DC">
        <w:rPr>
          <w:rFonts w:ascii="Garamond" w:hAnsi="Garamond"/>
          <w:sz w:val="24"/>
          <w:szCs w:val="24"/>
        </w:rPr>
        <w:t xml:space="preserve"> with a variable using the lag payroll for each team, and country fixed effects. </w:t>
      </w:r>
      <w:r w:rsidR="00C123F4">
        <w:rPr>
          <w:rFonts w:ascii="Garamond" w:hAnsi="Garamond"/>
          <w:sz w:val="24"/>
          <w:szCs w:val="24"/>
        </w:rPr>
        <w:t>To control for the dispersion of payroll within each league, column three adds a variable showing the distance of each team’s payroll from the league’s average payroll</w:t>
      </w:r>
      <w:r w:rsidR="005557AC">
        <w:rPr>
          <w:rFonts w:ascii="Garamond" w:hAnsi="Garamond"/>
          <w:sz w:val="24"/>
          <w:szCs w:val="24"/>
        </w:rPr>
        <w:t>.</w:t>
      </w:r>
      <w:r w:rsidR="00C123F4">
        <w:rPr>
          <w:rFonts w:ascii="Garamond" w:hAnsi="Garamond"/>
          <w:sz w:val="24"/>
          <w:szCs w:val="24"/>
        </w:rPr>
        <w:t xml:space="preserve"> The results are consistent across all three columns, and extra Champions League spot is associated with larger payroll across all teams, but again the largest magnitude is among the top seven teams, those that we hypothesize are the most affected in the margin by the extra spot. </w:t>
      </w:r>
      <w:r w:rsidR="005557AC">
        <w:rPr>
          <w:rFonts w:ascii="Garamond" w:hAnsi="Garamond"/>
          <w:sz w:val="24"/>
          <w:szCs w:val="24"/>
        </w:rPr>
        <w:t xml:space="preserve"> </w:t>
      </w:r>
    </w:p>
    <w:p w:rsidR="00E3177E" w:rsidRDefault="002D29AE" w:rsidP="007379BD">
      <w:pPr>
        <w:spacing w:line="480" w:lineRule="auto"/>
        <w:jc w:val="both"/>
        <w:rPr>
          <w:rFonts w:ascii="Garamond" w:hAnsi="Garamond"/>
          <w:sz w:val="24"/>
          <w:szCs w:val="24"/>
        </w:rPr>
      </w:pPr>
      <w:r>
        <w:rPr>
          <w:rFonts w:ascii="Garamond" w:hAnsi="Garamond"/>
          <w:sz w:val="24"/>
          <w:szCs w:val="24"/>
        </w:rPr>
        <w:tab/>
        <w:t>To further explore how payroll is associated with the</w:t>
      </w:r>
      <w:r w:rsidR="001E4C5E">
        <w:rPr>
          <w:rFonts w:ascii="Garamond" w:hAnsi="Garamond"/>
          <w:sz w:val="24"/>
          <w:szCs w:val="24"/>
        </w:rPr>
        <w:t xml:space="preserve"> available</w:t>
      </w:r>
      <w:r>
        <w:rPr>
          <w:rFonts w:ascii="Garamond" w:hAnsi="Garamond"/>
          <w:sz w:val="24"/>
          <w:szCs w:val="24"/>
        </w:rPr>
        <w:t xml:space="preserve"> Champions League</w:t>
      </w:r>
      <w:r w:rsidR="001E4C5E">
        <w:rPr>
          <w:rFonts w:ascii="Garamond" w:hAnsi="Garamond"/>
          <w:sz w:val="24"/>
          <w:szCs w:val="24"/>
        </w:rPr>
        <w:t xml:space="preserve"> qualification places </w:t>
      </w:r>
      <w:r>
        <w:rPr>
          <w:rFonts w:ascii="Garamond" w:hAnsi="Garamond"/>
          <w:sz w:val="24"/>
          <w:szCs w:val="24"/>
        </w:rPr>
        <w:t xml:space="preserve">, Table 3 shows the estimates for equation (2) where instead of the rank of the team in the table the previous </w:t>
      </w:r>
      <w:r w:rsidR="001218D2">
        <w:rPr>
          <w:rFonts w:ascii="Garamond" w:hAnsi="Garamond"/>
          <w:sz w:val="24"/>
          <w:szCs w:val="24"/>
        </w:rPr>
        <w:t>season</w:t>
      </w:r>
      <w:r>
        <w:rPr>
          <w:rFonts w:ascii="Garamond" w:hAnsi="Garamond"/>
          <w:sz w:val="24"/>
          <w:szCs w:val="24"/>
        </w:rPr>
        <w:t xml:space="preserve"> we</w:t>
      </w:r>
      <w:r w:rsidR="000F424D">
        <w:rPr>
          <w:rFonts w:ascii="Garamond" w:hAnsi="Garamond"/>
          <w:sz w:val="24"/>
          <w:szCs w:val="24"/>
        </w:rPr>
        <w:t xml:space="preserve"> measure the number of spots in the league table that each team is from qualifying. That is, all teams that qualify to the Champions League in the previous year get a value of zero, and the following teams are ordered cardinally from 1 to N (where N is the number of teams in the league minus the number of teams that qualified on the previous year).</w:t>
      </w:r>
      <w:r w:rsidR="00142DF0">
        <w:rPr>
          <w:rFonts w:ascii="Garamond" w:hAnsi="Garamond"/>
          <w:sz w:val="24"/>
          <w:szCs w:val="24"/>
        </w:rPr>
        <w:t xml:space="preserve"> </w:t>
      </w:r>
      <w:r w:rsidR="001218D2">
        <w:rPr>
          <w:rFonts w:ascii="Garamond" w:hAnsi="Garamond"/>
          <w:sz w:val="24"/>
          <w:szCs w:val="24"/>
        </w:rPr>
        <w:t xml:space="preserve">We interact </w:t>
      </w:r>
      <w:r w:rsidR="002807B0">
        <w:rPr>
          <w:rFonts w:ascii="Garamond" w:hAnsi="Garamond"/>
          <w:sz w:val="24"/>
          <w:szCs w:val="24"/>
        </w:rPr>
        <w:t>this variable with whether the L</w:t>
      </w:r>
      <w:r w:rsidR="001218D2">
        <w:rPr>
          <w:rFonts w:ascii="Garamond" w:hAnsi="Garamond"/>
          <w:sz w:val="24"/>
          <w:szCs w:val="24"/>
        </w:rPr>
        <w:t>eague had</w:t>
      </w:r>
      <w:r w:rsidR="002807B0">
        <w:rPr>
          <w:rFonts w:ascii="Garamond" w:hAnsi="Garamond"/>
          <w:sz w:val="24"/>
          <w:szCs w:val="24"/>
        </w:rPr>
        <w:t xml:space="preserve"> an extra spot, or whether </w:t>
      </w:r>
      <w:r w:rsidR="002807B0">
        <w:rPr>
          <w:rFonts w:ascii="Garamond" w:hAnsi="Garamond"/>
          <w:sz w:val="24"/>
          <w:szCs w:val="24"/>
        </w:rPr>
        <w:lastRenderedPageBreak/>
        <w:t>the L</w:t>
      </w:r>
      <w:r w:rsidR="001218D2">
        <w:rPr>
          <w:rFonts w:ascii="Garamond" w:hAnsi="Garamond"/>
          <w:sz w:val="24"/>
          <w:szCs w:val="24"/>
        </w:rPr>
        <w:t xml:space="preserve">eague had a spot less. </w:t>
      </w:r>
      <w:r w:rsidR="00142DF0">
        <w:rPr>
          <w:rFonts w:ascii="Garamond" w:hAnsi="Garamond"/>
          <w:sz w:val="24"/>
          <w:szCs w:val="24"/>
        </w:rPr>
        <w:t>The columns in this t</w:t>
      </w:r>
      <w:r w:rsidR="002807B0">
        <w:rPr>
          <w:rFonts w:ascii="Garamond" w:hAnsi="Garamond"/>
          <w:sz w:val="24"/>
          <w:szCs w:val="24"/>
        </w:rPr>
        <w:t>able replicate those in Table 2 where the first column</w:t>
      </w:r>
      <w:r w:rsidR="00142DF0">
        <w:rPr>
          <w:rFonts w:ascii="Garamond" w:hAnsi="Garamond"/>
          <w:sz w:val="24"/>
          <w:szCs w:val="24"/>
        </w:rPr>
        <w:t xml:space="preserve"> has team fixed effec</w:t>
      </w:r>
      <w:r w:rsidR="002807B0">
        <w:rPr>
          <w:rFonts w:ascii="Garamond" w:hAnsi="Garamond"/>
          <w:sz w:val="24"/>
          <w:szCs w:val="24"/>
        </w:rPr>
        <w:t xml:space="preserve">ts and the second and third </w:t>
      </w:r>
      <w:r w:rsidR="00142DF0">
        <w:rPr>
          <w:rFonts w:ascii="Garamond" w:hAnsi="Garamond"/>
          <w:sz w:val="24"/>
          <w:szCs w:val="24"/>
        </w:rPr>
        <w:t>column</w:t>
      </w:r>
      <w:r w:rsidR="002807B0">
        <w:rPr>
          <w:rFonts w:ascii="Garamond" w:hAnsi="Garamond"/>
          <w:sz w:val="24"/>
          <w:szCs w:val="24"/>
        </w:rPr>
        <w:t xml:space="preserve">s have country (League) </w:t>
      </w:r>
      <w:r w:rsidR="00142DF0">
        <w:rPr>
          <w:rFonts w:ascii="Garamond" w:hAnsi="Garamond"/>
          <w:sz w:val="24"/>
          <w:szCs w:val="24"/>
        </w:rPr>
        <w:t xml:space="preserve"> fixed effects</w:t>
      </w:r>
      <w:r w:rsidR="00E3177E">
        <w:rPr>
          <w:rFonts w:ascii="Garamond" w:hAnsi="Garamond"/>
          <w:sz w:val="24"/>
          <w:szCs w:val="24"/>
        </w:rPr>
        <w:t>.</w:t>
      </w:r>
      <w:r w:rsidR="00142DF0">
        <w:rPr>
          <w:rFonts w:ascii="Garamond" w:hAnsi="Garamond"/>
          <w:sz w:val="24"/>
          <w:szCs w:val="24"/>
        </w:rPr>
        <w:t xml:space="preserve"> The omitted category is teams who in the previous season qualified to the Champions League</w:t>
      </w:r>
      <w:r w:rsidR="001218D2">
        <w:rPr>
          <w:rFonts w:ascii="Garamond" w:hAnsi="Garamond"/>
          <w:sz w:val="24"/>
          <w:szCs w:val="24"/>
        </w:rPr>
        <w:t xml:space="preserve"> and there was no change in spots</w:t>
      </w:r>
      <w:r w:rsidR="002807B0">
        <w:rPr>
          <w:rFonts w:ascii="Garamond" w:hAnsi="Garamond"/>
          <w:sz w:val="24"/>
          <w:szCs w:val="24"/>
        </w:rPr>
        <w:t>. Notice, that while the coefficients</w:t>
      </w:r>
      <w:r w:rsidR="00142DF0">
        <w:rPr>
          <w:rFonts w:ascii="Garamond" w:hAnsi="Garamond"/>
          <w:sz w:val="24"/>
          <w:szCs w:val="24"/>
        </w:rPr>
        <w:t xml:space="preserve"> are not statistically significant different from zero, all</w:t>
      </w:r>
      <w:r w:rsidR="001218D2">
        <w:rPr>
          <w:rFonts w:ascii="Garamond" w:hAnsi="Garamond"/>
          <w:sz w:val="24"/>
          <w:szCs w:val="24"/>
        </w:rPr>
        <w:t xml:space="preserve"> the</w:t>
      </w:r>
      <w:r w:rsidR="002807B0">
        <w:rPr>
          <w:rFonts w:ascii="Garamond" w:hAnsi="Garamond"/>
          <w:sz w:val="24"/>
          <w:szCs w:val="24"/>
        </w:rPr>
        <w:t xml:space="preserve"> coefficients of</w:t>
      </w:r>
      <w:r w:rsidR="001218D2">
        <w:rPr>
          <w:rFonts w:ascii="Garamond" w:hAnsi="Garamond"/>
          <w:sz w:val="24"/>
          <w:szCs w:val="24"/>
        </w:rPr>
        <w:t xml:space="preserve"> interactions between an extra spot and distance from qualifying</w:t>
      </w:r>
      <w:r w:rsidR="00142DF0">
        <w:rPr>
          <w:rFonts w:ascii="Garamond" w:hAnsi="Garamond"/>
          <w:sz w:val="24"/>
          <w:szCs w:val="24"/>
        </w:rPr>
        <w:t xml:space="preserve"> are positive in sign and largest in magnitude for teams that finished within five spots from qualifying to the Champions League.</w:t>
      </w:r>
      <w:r w:rsidR="001218D2">
        <w:rPr>
          <w:rFonts w:ascii="Garamond" w:hAnsi="Garamond"/>
          <w:sz w:val="24"/>
          <w:szCs w:val="24"/>
        </w:rPr>
        <w:t xml:space="preserve"> In contrast, the coefficient</w:t>
      </w:r>
      <w:r w:rsidR="002807B0">
        <w:rPr>
          <w:rFonts w:ascii="Garamond" w:hAnsi="Garamond"/>
          <w:sz w:val="24"/>
          <w:szCs w:val="24"/>
        </w:rPr>
        <w:t>s of interaction</w:t>
      </w:r>
      <w:r w:rsidR="001218D2">
        <w:rPr>
          <w:rFonts w:ascii="Garamond" w:hAnsi="Garamond"/>
          <w:sz w:val="24"/>
          <w:szCs w:val="24"/>
        </w:rPr>
        <w:t xml:space="preserve"> between an extra spot and teams who qualified to Champions</w:t>
      </w:r>
      <w:r w:rsidR="002807B0">
        <w:rPr>
          <w:rFonts w:ascii="Garamond" w:hAnsi="Garamond"/>
          <w:sz w:val="24"/>
          <w:szCs w:val="24"/>
        </w:rPr>
        <w:t xml:space="preserve"> League</w:t>
      </w:r>
      <w:r w:rsidR="001218D2">
        <w:rPr>
          <w:rFonts w:ascii="Garamond" w:hAnsi="Garamond"/>
          <w:sz w:val="24"/>
          <w:szCs w:val="24"/>
        </w:rPr>
        <w:t xml:space="preserve"> are quite small in magn</w:t>
      </w:r>
      <w:r w:rsidR="002807B0">
        <w:rPr>
          <w:rFonts w:ascii="Garamond" w:hAnsi="Garamond"/>
          <w:sz w:val="24"/>
          <w:szCs w:val="24"/>
        </w:rPr>
        <w:t xml:space="preserve">itude. Further, the </w:t>
      </w:r>
      <w:r w:rsidR="00142DF0">
        <w:rPr>
          <w:rFonts w:ascii="Garamond" w:hAnsi="Garamond"/>
          <w:sz w:val="24"/>
          <w:szCs w:val="24"/>
        </w:rPr>
        <w:t>coefficient</w:t>
      </w:r>
      <w:r w:rsidR="002807B0">
        <w:rPr>
          <w:rFonts w:ascii="Garamond" w:hAnsi="Garamond"/>
          <w:sz w:val="24"/>
          <w:szCs w:val="24"/>
        </w:rPr>
        <w:t xml:space="preserve"> estimate</w:t>
      </w:r>
      <w:r w:rsidR="00142DF0">
        <w:rPr>
          <w:rFonts w:ascii="Garamond" w:hAnsi="Garamond"/>
          <w:sz w:val="24"/>
          <w:szCs w:val="24"/>
        </w:rPr>
        <w:t xml:space="preserve"> of </w:t>
      </w:r>
      <w:r w:rsidR="00142DF0">
        <w:rPr>
          <w:rFonts w:ascii="Garamond" w:hAnsi="Garamond"/>
          <w:i/>
          <w:sz w:val="24"/>
          <w:szCs w:val="24"/>
        </w:rPr>
        <w:t>CH</w:t>
      </w:r>
      <w:r w:rsidR="00142DF0" w:rsidRPr="00142DF0">
        <w:rPr>
          <w:rFonts w:ascii="Garamond" w:hAnsi="Garamond"/>
          <w:i/>
          <w:sz w:val="24"/>
          <w:szCs w:val="24"/>
        </w:rPr>
        <w:t xml:space="preserve">X1-3 </w:t>
      </w:r>
      <w:r w:rsidR="00142DF0">
        <w:rPr>
          <w:rFonts w:ascii="Garamond" w:hAnsi="Garamond"/>
          <w:i/>
          <w:sz w:val="24"/>
          <w:szCs w:val="24"/>
        </w:rPr>
        <w:t xml:space="preserve">Away </w:t>
      </w:r>
      <w:r w:rsidR="00142DF0">
        <w:rPr>
          <w:rFonts w:ascii="Garamond" w:hAnsi="Garamond"/>
          <w:sz w:val="24"/>
          <w:szCs w:val="24"/>
        </w:rPr>
        <w:t>is marginally statistically significant</w:t>
      </w:r>
      <w:r w:rsidR="00690DFA">
        <w:rPr>
          <w:rFonts w:ascii="Garamond" w:hAnsi="Garamond"/>
          <w:sz w:val="24"/>
          <w:szCs w:val="24"/>
        </w:rPr>
        <w:t xml:space="preserve"> </w:t>
      </w:r>
      <w:r w:rsidR="002807B0">
        <w:rPr>
          <w:rFonts w:ascii="Garamond" w:hAnsi="Garamond"/>
          <w:sz w:val="24"/>
          <w:szCs w:val="24"/>
        </w:rPr>
        <w:t>at 10 per cent</w:t>
      </w:r>
      <w:r w:rsidR="001218D2">
        <w:rPr>
          <w:rFonts w:ascii="Garamond" w:hAnsi="Garamond"/>
          <w:sz w:val="24"/>
          <w:szCs w:val="24"/>
        </w:rPr>
        <w:t xml:space="preserve"> </w:t>
      </w:r>
      <w:r w:rsidR="00690DFA">
        <w:rPr>
          <w:rFonts w:ascii="Garamond" w:hAnsi="Garamond"/>
          <w:sz w:val="24"/>
          <w:szCs w:val="24"/>
        </w:rPr>
        <w:t xml:space="preserve">in </w:t>
      </w:r>
      <w:r w:rsidR="001218D2">
        <w:rPr>
          <w:rFonts w:ascii="Garamond" w:hAnsi="Garamond"/>
          <w:sz w:val="24"/>
          <w:szCs w:val="24"/>
        </w:rPr>
        <w:t>both</w:t>
      </w:r>
      <w:r w:rsidR="00690DFA">
        <w:rPr>
          <w:rFonts w:ascii="Garamond" w:hAnsi="Garamond"/>
          <w:sz w:val="24"/>
          <w:szCs w:val="24"/>
        </w:rPr>
        <w:t xml:space="preserve"> country fixed effects specification</w:t>
      </w:r>
      <w:r w:rsidR="001E4C5E">
        <w:rPr>
          <w:rFonts w:ascii="Garamond" w:hAnsi="Garamond"/>
          <w:sz w:val="24"/>
          <w:szCs w:val="24"/>
        </w:rPr>
        <w:t>s</w:t>
      </w:r>
      <w:r w:rsidR="00142DF0">
        <w:rPr>
          <w:rFonts w:ascii="Garamond" w:hAnsi="Garamond"/>
          <w:sz w:val="24"/>
          <w:szCs w:val="24"/>
        </w:rPr>
        <w:t xml:space="preserve">. </w:t>
      </w:r>
    </w:p>
    <w:p w:rsidR="00942BFE" w:rsidRPr="006D516E" w:rsidRDefault="00E3177E" w:rsidP="007379BD">
      <w:pPr>
        <w:spacing w:line="480" w:lineRule="auto"/>
        <w:jc w:val="both"/>
        <w:rPr>
          <w:rFonts w:ascii="Garamond" w:hAnsi="Garamond"/>
          <w:sz w:val="24"/>
          <w:szCs w:val="24"/>
        </w:rPr>
      </w:pPr>
      <w:r>
        <w:rPr>
          <w:rFonts w:ascii="Garamond" w:hAnsi="Garamond"/>
          <w:sz w:val="24"/>
          <w:szCs w:val="24"/>
        </w:rPr>
        <w:tab/>
        <w:t xml:space="preserve">In Table 4 we estimate equation (2) again, but instead we measure the deviation in points from qualifying to the Champions League in the previous </w:t>
      </w:r>
      <w:r w:rsidR="00D832A4">
        <w:rPr>
          <w:rFonts w:ascii="Garamond" w:hAnsi="Garamond"/>
          <w:sz w:val="24"/>
          <w:szCs w:val="24"/>
        </w:rPr>
        <w:t>season</w:t>
      </w:r>
      <w:r w:rsidR="001E4C5E">
        <w:rPr>
          <w:rFonts w:ascii="Garamond" w:hAnsi="Garamond"/>
          <w:sz w:val="24"/>
          <w:szCs w:val="24"/>
        </w:rPr>
        <w:t>. Again, there is no</w:t>
      </w:r>
      <w:r>
        <w:rPr>
          <w:rFonts w:ascii="Garamond" w:hAnsi="Garamond"/>
          <w:sz w:val="24"/>
          <w:szCs w:val="24"/>
        </w:rPr>
        <w:t xml:space="preserve"> change in payroll for the teams who qualify to Champions </w:t>
      </w:r>
      <w:r w:rsidR="00690DFA">
        <w:rPr>
          <w:rFonts w:ascii="Garamond" w:hAnsi="Garamond"/>
          <w:sz w:val="24"/>
          <w:szCs w:val="24"/>
        </w:rPr>
        <w:t>League</w:t>
      </w:r>
      <w:r>
        <w:rPr>
          <w:rFonts w:ascii="Garamond" w:hAnsi="Garamond"/>
          <w:sz w:val="24"/>
          <w:szCs w:val="24"/>
        </w:rPr>
        <w:t xml:space="preserve"> that earn an extra spot the follow</w:t>
      </w:r>
      <w:r w:rsidR="00D832A4">
        <w:rPr>
          <w:rFonts w:ascii="Garamond" w:hAnsi="Garamond"/>
          <w:sz w:val="24"/>
          <w:szCs w:val="24"/>
        </w:rPr>
        <w:t>ing season. Yet, among teams that finish within six points from qualifying to the tournament, payroll increases by 20 percentage points with an add</w:t>
      </w:r>
      <w:r w:rsidR="00420F32">
        <w:rPr>
          <w:rFonts w:ascii="Garamond" w:hAnsi="Garamond"/>
          <w:sz w:val="24"/>
          <w:szCs w:val="24"/>
        </w:rPr>
        <w:t>ed spot in the Champions League</w:t>
      </w:r>
      <w:r w:rsidR="00D832A4">
        <w:rPr>
          <w:rFonts w:ascii="Garamond" w:hAnsi="Garamond"/>
          <w:sz w:val="24"/>
          <w:szCs w:val="24"/>
        </w:rPr>
        <w:t>. Notice that payroll also increases with an extra spot for teams who finished beyond fifteen points from qualifying, but the magnitude is much</w:t>
      </w:r>
      <w:r w:rsidR="00420F32">
        <w:rPr>
          <w:rFonts w:ascii="Garamond" w:hAnsi="Garamond"/>
          <w:sz w:val="24"/>
          <w:szCs w:val="24"/>
        </w:rPr>
        <w:t xml:space="preserve"> smaller</w:t>
      </w:r>
      <w:r w:rsidR="00D832A4">
        <w:rPr>
          <w:rFonts w:ascii="Garamond" w:hAnsi="Garamond"/>
          <w:sz w:val="24"/>
          <w:szCs w:val="24"/>
        </w:rPr>
        <w:t xml:space="preserve">. </w:t>
      </w:r>
      <w:r w:rsidR="00A07186">
        <w:rPr>
          <w:rFonts w:ascii="Garamond" w:hAnsi="Garamond"/>
          <w:sz w:val="24"/>
          <w:szCs w:val="24"/>
        </w:rPr>
        <w:t>Importantly</w:t>
      </w:r>
      <w:r w:rsidR="001E4C5E">
        <w:rPr>
          <w:rFonts w:ascii="Garamond" w:hAnsi="Garamond"/>
          <w:sz w:val="24"/>
          <w:szCs w:val="24"/>
        </w:rPr>
        <w:t xml:space="preserve"> as well, while the coefficient</w:t>
      </w:r>
      <w:r w:rsidR="00A07186">
        <w:rPr>
          <w:rFonts w:ascii="Garamond" w:hAnsi="Garamond"/>
          <w:sz w:val="24"/>
          <w:szCs w:val="24"/>
        </w:rPr>
        <w:t xml:space="preserve"> </w:t>
      </w:r>
      <w:r w:rsidR="00420F32">
        <w:rPr>
          <w:rFonts w:ascii="Garamond" w:hAnsi="Garamond"/>
          <w:sz w:val="24"/>
          <w:szCs w:val="24"/>
        </w:rPr>
        <w:t xml:space="preserve"> estimates</w:t>
      </w:r>
      <w:r w:rsidR="00275128">
        <w:rPr>
          <w:rFonts w:ascii="Garamond" w:hAnsi="Garamond"/>
          <w:sz w:val="24"/>
          <w:szCs w:val="24"/>
        </w:rPr>
        <w:t xml:space="preserve"> of </w:t>
      </w:r>
      <w:r w:rsidR="00420F32">
        <w:rPr>
          <w:rFonts w:ascii="Garamond" w:hAnsi="Garamond"/>
          <w:sz w:val="24"/>
          <w:szCs w:val="24"/>
        </w:rPr>
        <w:t xml:space="preserve"> </w:t>
      </w:r>
      <w:r w:rsidR="00275128">
        <w:rPr>
          <w:rFonts w:ascii="Garamond" w:hAnsi="Garamond"/>
          <w:sz w:val="24"/>
          <w:szCs w:val="24"/>
        </w:rPr>
        <w:t>an extra spot</w:t>
      </w:r>
      <w:r w:rsidR="00A07186">
        <w:rPr>
          <w:rFonts w:ascii="Garamond" w:hAnsi="Garamond"/>
          <w:sz w:val="24"/>
          <w:szCs w:val="24"/>
        </w:rPr>
        <w:t xml:space="preserve"> are mostly positive, the estimates for the coefficients when a spot is taken away from a league are generally negative</w:t>
      </w:r>
      <w:r w:rsidR="00420F32">
        <w:rPr>
          <w:rFonts w:ascii="Garamond" w:hAnsi="Garamond"/>
          <w:sz w:val="24"/>
          <w:szCs w:val="24"/>
        </w:rPr>
        <w:t xml:space="preserve"> and statistically significant for teams in the bottom of the table</w:t>
      </w:r>
      <w:r w:rsidR="00A07186">
        <w:rPr>
          <w:rFonts w:ascii="Garamond" w:hAnsi="Garamond"/>
          <w:sz w:val="24"/>
          <w:szCs w:val="24"/>
        </w:rPr>
        <w:t>. For example, decreasing the number of Champions</w:t>
      </w:r>
      <w:r w:rsidR="00275128">
        <w:rPr>
          <w:rFonts w:ascii="Garamond" w:hAnsi="Garamond"/>
          <w:sz w:val="24"/>
          <w:szCs w:val="24"/>
        </w:rPr>
        <w:t xml:space="preserve"> League</w:t>
      </w:r>
      <w:r w:rsidR="00A07186">
        <w:rPr>
          <w:rFonts w:ascii="Garamond" w:hAnsi="Garamond"/>
          <w:sz w:val="24"/>
          <w:szCs w:val="24"/>
        </w:rPr>
        <w:t xml:space="preserve"> spots allocated to a league resu</w:t>
      </w:r>
      <w:r w:rsidR="006E1139">
        <w:rPr>
          <w:rFonts w:ascii="Garamond" w:hAnsi="Garamond"/>
          <w:sz w:val="24"/>
          <w:szCs w:val="24"/>
        </w:rPr>
        <w:t xml:space="preserve">lts in a decrease in payroll by the teams who in </w:t>
      </w:r>
      <w:r w:rsidR="00275128">
        <w:rPr>
          <w:rFonts w:ascii="Garamond" w:hAnsi="Garamond"/>
          <w:sz w:val="24"/>
          <w:szCs w:val="24"/>
        </w:rPr>
        <w:t>the previous season qualified for the</w:t>
      </w:r>
      <w:r w:rsidR="006E1139">
        <w:rPr>
          <w:rFonts w:ascii="Garamond" w:hAnsi="Garamond"/>
          <w:sz w:val="24"/>
          <w:szCs w:val="24"/>
        </w:rPr>
        <w:t xml:space="preserve"> Champions</w:t>
      </w:r>
      <w:r w:rsidR="00275128">
        <w:rPr>
          <w:rFonts w:ascii="Garamond" w:hAnsi="Garamond"/>
          <w:sz w:val="24"/>
          <w:szCs w:val="24"/>
        </w:rPr>
        <w:t xml:space="preserve"> League</w:t>
      </w:r>
      <w:r w:rsidR="006E1139">
        <w:rPr>
          <w:rFonts w:ascii="Garamond" w:hAnsi="Garamond"/>
          <w:sz w:val="24"/>
          <w:szCs w:val="24"/>
        </w:rPr>
        <w:t>, and also by the teams who finished farther away from qualifying. That is, when one measures the distance</w:t>
      </w:r>
      <w:r w:rsidR="00275128">
        <w:rPr>
          <w:rFonts w:ascii="Garamond" w:hAnsi="Garamond"/>
          <w:sz w:val="24"/>
          <w:szCs w:val="24"/>
        </w:rPr>
        <w:t xml:space="preserve"> that a team faces to qualify for</w:t>
      </w:r>
      <w:r w:rsidR="006E1139">
        <w:rPr>
          <w:rFonts w:ascii="Garamond" w:hAnsi="Garamond"/>
          <w:sz w:val="24"/>
          <w:szCs w:val="24"/>
        </w:rPr>
        <w:t xml:space="preserve"> the Champions League in</w:t>
      </w:r>
      <w:r w:rsidR="00275128">
        <w:rPr>
          <w:rFonts w:ascii="Garamond" w:hAnsi="Garamond"/>
          <w:sz w:val="24"/>
          <w:szCs w:val="24"/>
        </w:rPr>
        <w:t xml:space="preserve"> terms of</w:t>
      </w:r>
      <w:r w:rsidR="006E1139">
        <w:rPr>
          <w:rFonts w:ascii="Garamond" w:hAnsi="Garamond"/>
          <w:sz w:val="24"/>
          <w:szCs w:val="24"/>
        </w:rPr>
        <w:t xml:space="preserve"> points, a higher probabilit</w:t>
      </w:r>
      <w:r w:rsidR="00275128">
        <w:rPr>
          <w:rFonts w:ascii="Garamond" w:hAnsi="Garamond"/>
          <w:sz w:val="24"/>
          <w:szCs w:val="24"/>
        </w:rPr>
        <w:t>y of qualifying (and winning our conceptual</w:t>
      </w:r>
      <w:r w:rsidR="006E1139">
        <w:rPr>
          <w:rFonts w:ascii="Garamond" w:hAnsi="Garamond"/>
          <w:sz w:val="24"/>
          <w:szCs w:val="24"/>
        </w:rPr>
        <w:t xml:space="preserve"> tournament) results in </w:t>
      </w:r>
      <w:r w:rsidR="006E1139">
        <w:rPr>
          <w:rFonts w:ascii="Garamond" w:hAnsi="Garamond"/>
          <w:sz w:val="24"/>
          <w:szCs w:val="24"/>
        </w:rPr>
        <w:lastRenderedPageBreak/>
        <w:t>larger payroll and a lower probability of qualifying (and</w:t>
      </w:r>
      <w:r w:rsidR="00275128">
        <w:rPr>
          <w:rFonts w:ascii="Garamond" w:hAnsi="Garamond"/>
          <w:sz w:val="24"/>
          <w:szCs w:val="24"/>
        </w:rPr>
        <w:t xml:space="preserve"> hence</w:t>
      </w:r>
      <w:r w:rsidR="006E1139">
        <w:rPr>
          <w:rFonts w:ascii="Garamond" w:hAnsi="Garamond"/>
          <w:sz w:val="24"/>
          <w:szCs w:val="24"/>
        </w:rPr>
        <w:t xml:space="preserve"> winning the</w:t>
      </w:r>
      <w:r w:rsidR="00275128">
        <w:rPr>
          <w:rFonts w:ascii="Garamond" w:hAnsi="Garamond"/>
          <w:sz w:val="24"/>
          <w:szCs w:val="24"/>
        </w:rPr>
        <w:t xml:space="preserve"> conceptual</w:t>
      </w:r>
      <w:r w:rsidR="006E1139">
        <w:rPr>
          <w:rFonts w:ascii="Garamond" w:hAnsi="Garamond"/>
          <w:sz w:val="24"/>
          <w:szCs w:val="24"/>
        </w:rPr>
        <w:t xml:space="preserve"> tournament) results in smaller payoffs. </w:t>
      </w:r>
      <w:r w:rsidR="00A07186">
        <w:rPr>
          <w:rFonts w:ascii="Garamond" w:hAnsi="Garamond"/>
          <w:sz w:val="24"/>
          <w:szCs w:val="24"/>
        </w:rPr>
        <w:t xml:space="preserve"> </w:t>
      </w:r>
    </w:p>
    <w:p w:rsidR="00942BFE" w:rsidRPr="00032822" w:rsidRDefault="00194257" w:rsidP="00032822">
      <w:pPr>
        <w:pStyle w:val="ListParagraph"/>
        <w:numPr>
          <w:ilvl w:val="0"/>
          <w:numId w:val="1"/>
        </w:numPr>
        <w:spacing w:line="480" w:lineRule="auto"/>
        <w:rPr>
          <w:rFonts w:ascii="Garamond" w:hAnsi="Garamond"/>
          <w:sz w:val="24"/>
          <w:szCs w:val="24"/>
        </w:rPr>
      </w:pPr>
      <w:r>
        <w:rPr>
          <w:rFonts w:ascii="Garamond" w:hAnsi="Garamond"/>
          <w:b/>
          <w:sz w:val="24"/>
          <w:szCs w:val="24"/>
        </w:rPr>
        <w:t>Conclusion</w:t>
      </w:r>
    </w:p>
    <w:p w:rsidR="00942BFE" w:rsidRPr="000F7406" w:rsidRDefault="000F7406" w:rsidP="007379BD">
      <w:pPr>
        <w:spacing w:line="480" w:lineRule="auto"/>
        <w:jc w:val="both"/>
        <w:rPr>
          <w:rFonts w:ascii="Garamond" w:hAnsi="Garamond"/>
          <w:sz w:val="24"/>
          <w:szCs w:val="24"/>
        </w:rPr>
      </w:pPr>
      <w:r w:rsidRPr="000F7406">
        <w:rPr>
          <w:rFonts w:ascii="Garamond" w:hAnsi="Garamond"/>
          <w:sz w:val="24"/>
          <w:szCs w:val="24"/>
        </w:rPr>
        <w:t xml:space="preserve">In this paper we </w:t>
      </w:r>
      <w:r>
        <w:rPr>
          <w:rFonts w:ascii="Garamond" w:hAnsi="Garamond"/>
          <w:sz w:val="24"/>
          <w:szCs w:val="24"/>
        </w:rPr>
        <w:t xml:space="preserve">use the qualifying rules from the Champions League to understand how agents react to an exogenous change in the probability of winning a rank-order tournament.  Our results suggest that increasing the number of spots </w:t>
      </w:r>
      <w:r w:rsidR="00E817DF">
        <w:rPr>
          <w:rFonts w:ascii="Garamond" w:hAnsi="Garamond"/>
          <w:sz w:val="24"/>
          <w:szCs w:val="24"/>
        </w:rPr>
        <w:t>that a league has</w:t>
      </w:r>
      <w:r w:rsidR="00194257">
        <w:rPr>
          <w:rFonts w:ascii="Garamond" w:hAnsi="Garamond"/>
          <w:sz w:val="24"/>
          <w:szCs w:val="24"/>
        </w:rPr>
        <w:t xml:space="preserve"> for its teams</w:t>
      </w:r>
      <w:r w:rsidR="00E817DF">
        <w:rPr>
          <w:rFonts w:ascii="Garamond" w:hAnsi="Garamond"/>
          <w:sz w:val="24"/>
          <w:szCs w:val="24"/>
        </w:rPr>
        <w:t xml:space="preserve"> to qualify into the Champions League results in higher payroll by teams that</w:t>
      </w:r>
      <w:r w:rsidR="00194257">
        <w:rPr>
          <w:rFonts w:ascii="Garamond" w:hAnsi="Garamond"/>
          <w:sz w:val="24"/>
          <w:szCs w:val="24"/>
        </w:rPr>
        <w:t xml:space="preserve"> in</w:t>
      </w:r>
      <w:r w:rsidR="00E817DF">
        <w:rPr>
          <w:rFonts w:ascii="Garamond" w:hAnsi="Garamond"/>
          <w:sz w:val="24"/>
          <w:szCs w:val="24"/>
        </w:rPr>
        <w:t xml:space="preserve"> the previous season fell short of qualifying. The estimates are larger for teams who barely failed to qualify and they decrease for teams that </w:t>
      </w:r>
      <w:r w:rsidR="00275128">
        <w:rPr>
          <w:rFonts w:ascii="Garamond" w:hAnsi="Garamond"/>
          <w:sz w:val="24"/>
          <w:szCs w:val="24"/>
        </w:rPr>
        <w:t>are farther down in the league</w:t>
      </w:r>
      <w:r w:rsidR="00E817DF">
        <w:rPr>
          <w:rFonts w:ascii="Garamond" w:hAnsi="Garamond"/>
          <w:sz w:val="24"/>
          <w:szCs w:val="24"/>
        </w:rPr>
        <w:t xml:space="preserve"> table</w:t>
      </w:r>
      <w:r w:rsidR="00275128">
        <w:rPr>
          <w:rFonts w:ascii="Garamond" w:hAnsi="Garamond"/>
          <w:sz w:val="24"/>
          <w:szCs w:val="24"/>
        </w:rPr>
        <w:t>s</w:t>
      </w:r>
      <w:r w:rsidR="00E817DF">
        <w:rPr>
          <w:rFonts w:ascii="Garamond" w:hAnsi="Garamond"/>
          <w:sz w:val="24"/>
          <w:szCs w:val="24"/>
        </w:rPr>
        <w:t xml:space="preserve">. </w:t>
      </w:r>
      <w:r w:rsidR="00B35686">
        <w:rPr>
          <w:rFonts w:ascii="Garamond" w:hAnsi="Garamond"/>
          <w:sz w:val="24"/>
          <w:szCs w:val="24"/>
        </w:rPr>
        <w:t>Importantly, the payroll</w:t>
      </w:r>
      <w:r w:rsidR="00265FF3">
        <w:rPr>
          <w:rFonts w:ascii="Garamond" w:hAnsi="Garamond"/>
          <w:sz w:val="24"/>
          <w:szCs w:val="24"/>
        </w:rPr>
        <w:t>s of teams who did qualify as domestic</w:t>
      </w:r>
      <w:r w:rsidR="00B35686">
        <w:rPr>
          <w:rFonts w:ascii="Garamond" w:hAnsi="Garamond"/>
          <w:sz w:val="24"/>
          <w:szCs w:val="24"/>
        </w:rPr>
        <w:t xml:space="preserve"> champ</w:t>
      </w:r>
      <w:r w:rsidR="00265FF3">
        <w:rPr>
          <w:rFonts w:ascii="Garamond" w:hAnsi="Garamond"/>
          <w:sz w:val="24"/>
          <w:szCs w:val="24"/>
        </w:rPr>
        <w:t>ions in the previous season do</w:t>
      </w:r>
      <w:r w:rsidR="00B35686">
        <w:rPr>
          <w:rFonts w:ascii="Garamond" w:hAnsi="Garamond"/>
          <w:sz w:val="24"/>
          <w:szCs w:val="24"/>
        </w:rPr>
        <w:t xml:space="preserve"> not change with an added spot. </w:t>
      </w:r>
    </w:p>
    <w:p w:rsidR="008A6D87" w:rsidRDefault="008A6D87">
      <w:pPr>
        <w:rPr>
          <w:rFonts w:ascii="Garamond" w:hAnsi="Garamond"/>
          <w:b/>
          <w:sz w:val="24"/>
          <w:szCs w:val="24"/>
        </w:rPr>
      </w:pPr>
      <w:r>
        <w:rPr>
          <w:rFonts w:ascii="Garamond" w:hAnsi="Garamond"/>
          <w:b/>
          <w:sz w:val="24"/>
          <w:szCs w:val="24"/>
        </w:rPr>
        <w:br w:type="page"/>
      </w:r>
    </w:p>
    <w:p w:rsidR="00942BFE" w:rsidRDefault="00942BFE" w:rsidP="00A93EAB">
      <w:pPr>
        <w:spacing w:line="480" w:lineRule="auto"/>
        <w:rPr>
          <w:rFonts w:ascii="Garamond" w:hAnsi="Garamond"/>
          <w:b/>
          <w:sz w:val="24"/>
          <w:szCs w:val="24"/>
        </w:rPr>
      </w:pPr>
      <w:r>
        <w:rPr>
          <w:rFonts w:ascii="Garamond" w:hAnsi="Garamond"/>
          <w:b/>
          <w:sz w:val="24"/>
          <w:szCs w:val="24"/>
        </w:rPr>
        <w:lastRenderedPageBreak/>
        <w:t>References</w:t>
      </w:r>
    </w:p>
    <w:p w:rsidR="00333AB2" w:rsidRPr="00333AB2" w:rsidRDefault="00333AB2" w:rsidP="00333AB2">
      <w:pPr>
        <w:spacing w:line="240" w:lineRule="auto"/>
        <w:rPr>
          <w:rFonts w:ascii="Garamond" w:hAnsi="Garamond"/>
          <w:sz w:val="24"/>
          <w:szCs w:val="24"/>
        </w:rPr>
      </w:pPr>
      <w:r>
        <w:rPr>
          <w:rFonts w:ascii="Garamond" w:hAnsi="Garamond"/>
          <w:sz w:val="24"/>
          <w:szCs w:val="24"/>
        </w:rPr>
        <w:t xml:space="preserve">Bryson, Alex., Rossi, Giambattista and Rob Simmons.″The migrant wage premium in professional football: A superstar effect?″ </w:t>
      </w:r>
      <w:r>
        <w:rPr>
          <w:rFonts w:ascii="Garamond" w:hAnsi="Garamond"/>
          <w:i/>
          <w:sz w:val="24"/>
          <w:szCs w:val="24"/>
        </w:rPr>
        <w:t xml:space="preserve">Kyklos </w:t>
      </w:r>
      <w:r>
        <w:rPr>
          <w:rFonts w:ascii="Garamond" w:hAnsi="Garamond"/>
          <w:sz w:val="24"/>
          <w:szCs w:val="24"/>
        </w:rPr>
        <w:t>67 (2014): 12-28.</w:t>
      </w:r>
    </w:p>
    <w:p w:rsidR="00F16589" w:rsidRPr="00333AB2" w:rsidRDefault="00F16589" w:rsidP="00333AB2">
      <w:pPr>
        <w:spacing w:line="240" w:lineRule="auto"/>
        <w:rPr>
          <w:rFonts w:ascii="Garamond" w:hAnsi="Garamond"/>
          <w:sz w:val="24"/>
          <w:szCs w:val="24"/>
        </w:rPr>
      </w:pPr>
      <w:r w:rsidRPr="00606BE5">
        <w:rPr>
          <w:rFonts w:ascii="Garamond" w:eastAsia="Times New Roman" w:hAnsi="Garamond" w:cs="Times New Roman"/>
          <w:sz w:val="24"/>
          <w:szCs w:val="24"/>
          <w:lang w:eastAsia="en-GB"/>
        </w:rPr>
        <w:t>Coffey, Bentley, and Michael T. Maloney. "The thrill of victory: Measuring the incentive to win.</w:t>
      </w:r>
      <w:r w:rsidR="00333AB2">
        <w:rPr>
          <w:rFonts w:ascii="Garamond" w:eastAsia="Times New Roman" w:hAnsi="Garamond" w:cs="Times New Roman"/>
          <w:sz w:val="24"/>
          <w:szCs w:val="24"/>
          <w:lang w:eastAsia="en-GB"/>
        </w:rPr>
        <w:t xml:space="preserve">  </w:t>
      </w:r>
      <w:r w:rsidRPr="00606BE5">
        <w:rPr>
          <w:rFonts w:ascii="Garamond" w:eastAsia="Times New Roman" w:hAnsi="Garamond" w:cs="Times New Roman"/>
          <w:i/>
          <w:iCs/>
          <w:sz w:val="24"/>
          <w:szCs w:val="24"/>
          <w:lang w:eastAsia="en-GB"/>
        </w:rPr>
        <w:t>Journal of Labor Economics</w:t>
      </w:r>
      <w:r w:rsidR="00227C61">
        <w:rPr>
          <w:rFonts w:ascii="Garamond" w:eastAsia="Times New Roman" w:hAnsi="Garamond" w:cs="Times New Roman"/>
          <w:sz w:val="24"/>
          <w:szCs w:val="24"/>
          <w:lang w:eastAsia="en-GB"/>
        </w:rPr>
        <w:t xml:space="preserve"> 28 </w:t>
      </w:r>
      <w:r w:rsidRPr="00606BE5">
        <w:rPr>
          <w:rFonts w:ascii="Garamond" w:eastAsia="Times New Roman" w:hAnsi="Garamond" w:cs="Times New Roman"/>
          <w:sz w:val="24"/>
          <w:szCs w:val="24"/>
          <w:lang w:eastAsia="en-GB"/>
        </w:rPr>
        <w:t>(2010): 87-112.</w:t>
      </w:r>
    </w:p>
    <w:p w:rsidR="00227C61" w:rsidRPr="00227C61" w:rsidRDefault="00227C61" w:rsidP="00F16589">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Connelly, Brian., Tihanyi, Laszlo., Crook</w:t>
      </w:r>
      <w:r w:rsidR="00275128">
        <w:rPr>
          <w:rFonts w:ascii="Garamond" w:eastAsia="Times New Roman" w:hAnsi="Garamond" w:cs="Times New Roman"/>
          <w:sz w:val="24"/>
          <w:szCs w:val="24"/>
          <w:lang w:eastAsia="en-GB"/>
        </w:rPr>
        <w:t>,</w:t>
      </w:r>
      <w:r>
        <w:rPr>
          <w:rFonts w:ascii="Garamond" w:eastAsia="Times New Roman" w:hAnsi="Garamond" w:cs="Times New Roman"/>
          <w:sz w:val="24"/>
          <w:szCs w:val="24"/>
          <w:lang w:eastAsia="en-GB"/>
        </w:rPr>
        <w:t xml:space="preserve"> T. Russell, and K . Ashley Gangloff. ″Tournament theory: Thirty years of contests and competitions.″ </w:t>
      </w:r>
      <w:r>
        <w:rPr>
          <w:rFonts w:ascii="Garamond" w:eastAsia="Times New Roman" w:hAnsi="Garamond" w:cs="Times New Roman"/>
          <w:i/>
          <w:sz w:val="24"/>
          <w:szCs w:val="24"/>
          <w:lang w:eastAsia="en-GB"/>
        </w:rPr>
        <w:t>Journal of Management</w:t>
      </w:r>
      <w:r>
        <w:rPr>
          <w:rFonts w:ascii="Garamond" w:eastAsia="Times New Roman" w:hAnsi="Garamond" w:cs="Times New Roman"/>
          <w:sz w:val="24"/>
          <w:szCs w:val="24"/>
          <w:lang w:eastAsia="en-GB"/>
        </w:rPr>
        <w:t xml:space="preserve"> 40 (2014): 16-47.</w:t>
      </w:r>
    </w:p>
    <w:p w:rsidR="00227C61" w:rsidRPr="00606BE5" w:rsidRDefault="00227C61" w:rsidP="00F16589">
      <w:pPr>
        <w:spacing w:after="0" w:line="240" w:lineRule="auto"/>
        <w:rPr>
          <w:rFonts w:ascii="Garamond" w:eastAsia="Times New Roman" w:hAnsi="Garamond" w:cs="Times New Roman"/>
          <w:sz w:val="24"/>
          <w:szCs w:val="24"/>
          <w:lang w:eastAsia="en-GB"/>
        </w:rPr>
      </w:pPr>
    </w:p>
    <w:p w:rsidR="006D55B9" w:rsidRDefault="006D55B9" w:rsidP="006D55B9">
      <w:pPr>
        <w:spacing w:after="0" w:line="240" w:lineRule="auto"/>
        <w:rPr>
          <w:rFonts w:ascii="Garamond" w:eastAsia="Times New Roman" w:hAnsi="Garamond" w:cs="Times New Roman"/>
          <w:sz w:val="24"/>
          <w:szCs w:val="24"/>
          <w:lang w:eastAsia="en-GB"/>
        </w:rPr>
      </w:pPr>
      <w:r w:rsidRPr="00606BE5">
        <w:rPr>
          <w:rFonts w:ascii="Garamond" w:eastAsia="Times New Roman" w:hAnsi="Garamond" w:cs="Times New Roman"/>
          <w:sz w:val="24"/>
          <w:szCs w:val="24"/>
          <w:lang w:eastAsia="en-GB"/>
        </w:rPr>
        <w:t xml:space="preserve">Ehrenberg, Ronald G., and Michael L. Bognanno. "The incentive effects of tournaments revisited: Evidence from the European PGA tour." </w:t>
      </w:r>
      <w:r w:rsidRPr="00606BE5">
        <w:rPr>
          <w:rFonts w:ascii="Garamond" w:eastAsia="Times New Roman" w:hAnsi="Garamond" w:cs="Times New Roman"/>
          <w:i/>
          <w:iCs/>
          <w:sz w:val="24"/>
          <w:szCs w:val="24"/>
          <w:lang w:eastAsia="en-GB"/>
        </w:rPr>
        <w:t>Industrial and Labor Relations Review</w:t>
      </w:r>
      <w:r w:rsidRPr="00606BE5">
        <w:rPr>
          <w:rFonts w:ascii="Garamond" w:eastAsia="Times New Roman" w:hAnsi="Garamond" w:cs="Times New Roman"/>
          <w:sz w:val="24"/>
          <w:szCs w:val="24"/>
          <w:lang w:eastAsia="en-GB"/>
        </w:rPr>
        <w:t xml:space="preserve"> (1990): 74S-88S.</w:t>
      </w:r>
    </w:p>
    <w:p w:rsidR="00333AB2" w:rsidRDefault="00333AB2" w:rsidP="006D55B9">
      <w:pPr>
        <w:spacing w:after="0" w:line="240" w:lineRule="auto"/>
        <w:rPr>
          <w:rFonts w:ascii="Garamond" w:eastAsia="Times New Roman" w:hAnsi="Garamond" w:cs="Times New Roman"/>
          <w:sz w:val="24"/>
          <w:szCs w:val="24"/>
          <w:lang w:eastAsia="en-GB"/>
        </w:rPr>
      </w:pPr>
    </w:p>
    <w:p w:rsidR="00333AB2" w:rsidRPr="00333AB2" w:rsidRDefault="00333AB2" w:rsidP="006D55B9">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 xml:space="preserve">Franck, Egon and Stephan Nüesch. ″Talent and/or popularity: What does it take to be a superstar?″ </w:t>
      </w:r>
      <w:r>
        <w:rPr>
          <w:rFonts w:ascii="Garamond" w:eastAsia="Times New Roman" w:hAnsi="Garamond" w:cs="Times New Roman"/>
          <w:i/>
          <w:sz w:val="24"/>
          <w:szCs w:val="24"/>
          <w:lang w:eastAsia="en-GB"/>
        </w:rPr>
        <w:t xml:space="preserve">Economic Inquiry </w:t>
      </w:r>
      <w:r>
        <w:rPr>
          <w:rFonts w:ascii="Garamond" w:eastAsia="Times New Roman" w:hAnsi="Garamond" w:cs="Times New Roman"/>
          <w:sz w:val="24"/>
          <w:szCs w:val="24"/>
          <w:lang w:eastAsia="en-GB"/>
        </w:rPr>
        <w:t>50 (2012): 202-216.</w:t>
      </w:r>
    </w:p>
    <w:p w:rsidR="006B3CA9" w:rsidRDefault="006B3CA9" w:rsidP="006D55B9">
      <w:pPr>
        <w:spacing w:after="0" w:line="240" w:lineRule="auto"/>
        <w:rPr>
          <w:rFonts w:ascii="Garamond" w:eastAsia="Times New Roman" w:hAnsi="Garamond" w:cs="Times New Roman"/>
          <w:sz w:val="24"/>
          <w:szCs w:val="24"/>
          <w:lang w:eastAsia="en-GB"/>
        </w:rPr>
      </w:pPr>
    </w:p>
    <w:p w:rsidR="006B3CA9" w:rsidRPr="00194257" w:rsidRDefault="00194257" w:rsidP="006D55B9">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 xml:space="preserve">Frick, Bernd. ″Performance, salaries and contract length: Empirical evidence from German soccer.″ </w:t>
      </w:r>
      <w:r>
        <w:rPr>
          <w:rFonts w:ascii="Garamond" w:eastAsia="Times New Roman" w:hAnsi="Garamond" w:cs="Times New Roman"/>
          <w:i/>
          <w:sz w:val="24"/>
          <w:szCs w:val="24"/>
          <w:lang w:eastAsia="en-GB"/>
        </w:rPr>
        <w:t xml:space="preserve">International Journal of Sport Finance </w:t>
      </w:r>
      <w:r>
        <w:rPr>
          <w:rFonts w:ascii="Garamond" w:eastAsia="Times New Roman" w:hAnsi="Garamond" w:cs="Times New Roman"/>
          <w:sz w:val="24"/>
          <w:szCs w:val="24"/>
          <w:lang w:eastAsia="en-GB"/>
        </w:rPr>
        <w:t>6 (2011): 87-118.</w:t>
      </w:r>
    </w:p>
    <w:p w:rsidR="005C5212" w:rsidRDefault="005C5212" w:rsidP="006D55B9">
      <w:pPr>
        <w:spacing w:after="0" w:line="240" w:lineRule="auto"/>
        <w:rPr>
          <w:rFonts w:ascii="Garamond" w:eastAsia="Times New Roman" w:hAnsi="Garamond" w:cs="Times New Roman"/>
          <w:sz w:val="24"/>
          <w:szCs w:val="24"/>
          <w:lang w:eastAsia="en-GB"/>
        </w:rPr>
      </w:pPr>
    </w:p>
    <w:p w:rsidR="00A01416" w:rsidRPr="00A01416" w:rsidRDefault="00A01416" w:rsidP="006D55B9">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 xml:space="preserve">Frick, Bernd. ″Team wage bills and sporting performance: evidence from (major and minor) European football leagues.” In Plácido Rodríguez, Stefan Késenne and Jaume García (eds.) </w:t>
      </w:r>
      <w:r>
        <w:rPr>
          <w:rFonts w:ascii="Garamond" w:eastAsia="Times New Roman" w:hAnsi="Garamond" w:cs="Times New Roman"/>
          <w:i/>
          <w:sz w:val="24"/>
          <w:szCs w:val="24"/>
          <w:lang w:eastAsia="en-GB"/>
        </w:rPr>
        <w:t>The Econometrics of Sport</w:t>
      </w:r>
      <w:r>
        <w:rPr>
          <w:rFonts w:ascii="Garamond" w:eastAsia="Times New Roman" w:hAnsi="Garamond" w:cs="Times New Roman"/>
          <w:sz w:val="24"/>
          <w:szCs w:val="24"/>
          <w:lang w:eastAsia="en-GB"/>
        </w:rPr>
        <w:t>. Edward Elgar: Cheltenham, UK (2013): 63-80.</w:t>
      </w:r>
    </w:p>
    <w:p w:rsidR="00A01416" w:rsidRDefault="00A01416" w:rsidP="006D55B9">
      <w:pPr>
        <w:spacing w:after="0" w:line="240" w:lineRule="auto"/>
        <w:rPr>
          <w:rFonts w:ascii="Garamond" w:eastAsia="Times New Roman" w:hAnsi="Garamond" w:cs="Times New Roman"/>
          <w:sz w:val="24"/>
          <w:szCs w:val="24"/>
          <w:lang w:eastAsia="en-GB"/>
        </w:rPr>
      </w:pPr>
    </w:p>
    <w:p w:rsidR="002807B0" w:rsidRDefault="00265FF3" w:rsidP="006D55B9">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 xml:space="preserve">Frick, Bernd , and Rob Simmons.″The </w:t>
      </w:r>
      <w:r w:rsidR="009E2768">
        <w:rPr>
          <w:rFonts w:ascii="Garamond" w:eastAsia="Times New Roman" w:hAnsi="Garamond" w:cs="Times New Roman"/>
          <w:sz w:val="24"/>
          <w:szCs w:val="24"/>
          <w:lang w:eastAsia="en-GB"/>
        </w:rPr>
        <w:t>a</w:t>
      </w:r>
      <w:r>
        <w:rPr>
          <w:rFonts w:ascii="Garamond" w:eastAsia="Times New Roman" w:hAnsi="Garamond" w:cs="Times New Roman"/>
          <w:sz w:val="24"/>
          <w:szCs w:val="24"/>
          <w:lang w:eastAsia="en-GB"/>
        </w:rPr>
        <w:t xml:space="preserve">llocation of </w:t>
      </w:r>
      <w:r w:rsidR="009E2768">
        <w:rPr>
          <w:rFonts w:ascii="Garamond" w:eastAsia="Times New Roman" w:hAnsi="Garamond" w:cs="Times New Roman"/>
          <w:sz w:val="24"/>
          <w:szCs w:val="24"/>
          <w:lang w:eastAsia="en-GB"/>
        </w:rPr>
        <w:t>r</w:t>
      </w:r>
      <w:r>
        <w:rPr>
          <w:rFonts w:ascii="Garamond" w:eastAsia="Times New Roman" w:hAnsi="Garamond" w:cs="Times New Roman"/>
          <w:sz w:val="24"/>
          <w:szCs w:val="24"/>
          <w:lang w:eastAsia="en-GB"/>
        </w:rPr>
        <w:t xml:space="preserve">ewards in </w:t>
      </w:r>
      <w:r w:rsidR="009E2768">
        <w:rPr>
          <w:rFonts w:ascii="Garamond" w:eastAsia="Times New Roman" w:hAnsi="Garamond" w:cs="Times New Roman"/>
          <w:sz w:val="24"/>
          <w:szCs w:val="24"/>
          <w:lang w:eastAsia="en-GB"/>
        </w:rPr>
        <w:t>athletic c</w:t>
      </w:r>
      <w:r>
        <w:rPr>
          <w:rFonts w:ascii="Garamond" w:eastAsia="Times New Roman" w:hAnsi="Garamond" w:cs="Times New Roman"/>
          <w:sz w:val="24"/>
          <w:szCs w:val="24"/>
          <w:lang w:eastAsia="en-GB"/>
        </w:rPr>
        <w:t>ontests.″</w:t>
      </w:r>
      <w:r w:rsidR="00965364">
        <w:rPr>
          <w:rFonts w:ascii="Garamond" w:eastAsia="Times New Roman" w:hAnsi="Garamond" w:cs="Times New Roman"/>
          <w:sz w:val="24"/>
          <w:szCs w:val="24"/>
          <w:lang w:eastAsia="en-GB"/>
        </w:rPr>
        <w:t xml:space="preserve"> In Brad Humphreys and Dennis Howard (eds.) The Business of Sports, Volume 2. Praeger: West</w:t>
      </w:r>
      <w:r w:rsidR="00A01416">
        <w:rPr>
          <w:rFonts w:ascii="Garamond" w:eastAsia="Times New Roman" w:hAnsi="Garamond" w:cs="Times New Roman"/>
          <w:sz w:val="24"/>
          <w:szCs w:val="24"/>
          <w:lang w:eastAsia="en-GB"/>
        </w:rPr>
        <w:t>port CT (2008): 1-24.</w:t>
      </w:r>
    </w:p>
    <w:p w:rsidR="00965364" w:rsidRPr="00606BE5" w:rsidRDefault="00965364" w:rsidP="006D55B9">
      <w:pPr>
        <w:spacing w:after="0" w:line="240" w:lineRule="auto"/>
        <w:rPr>
          <w:rFonts w:ascii="Garamond" w:eastAsia="Times New Roman" w:hAnsi="Garamond" w:cs="Times New Roman"/>
          <w:sz w:val="24"/>
          <w:szCs w:val="24"/>
          <w:lang w:eastAsia="en-GB"/>
        </w:rPr>
      </w:pPr>
    </w:p>
    <w:p w:rsidR="005C5212" w:rsidRDefault="005C5212" w:rsidP="005C5212">
      <w:pPr>
        <w:spacing w:after="0" w:line="240" w:lineRule="auto"/>
        <w:rPr>
          <w:rFonts w:ascii="Garamond" w:eastAsia="Times New Roman" w:hAnsi="Garamond" w:cs="Times New Roman"/>
          <w:sz w:val="24"/>
          <w:szCs w:val="24"/>
          <w:lang w:eastAsia="en-GB"/>
        </w:rPr>
      </w:pPr>
      <w:r w:rsidRPr="00606BE5">
        <w:rPr>
          <w:rFonts w:ascii="Garamond" w:eastAsia="Times New Roman" w:hAnsi="Garamond" w:cs="Times New Roman"/>
          <w:sz w:val="24"/>
          <w:szCs w:val="24"/>
          <w:lang w:eastAsia="en-GB"/>
        </w:rPr>
        <w:t xml:space="preserve">Lazear, Edward P., </w:t>
      </w:r>
      <w:r w:rsidR="009E2768">
        <w:rPr>
          <w:rFonts w:ascii="Garamond" w:eastAsia="Times New Roman" w:hAnsi="Garamond" w:cs="Times New Roman"/>
          <w:sz w:val="24"/>
          <w:szCs w:val="24"/>
          <w:lang w:eastAsia="en-GB"/>
        </w:rPr>
        <w:t>and Sherwin Rosen. "Rank-order tournaments as optimum labor c</w:t>
      </w:r>
      <w:r w:rsidRPr="00606BE5">
        <w:rPr>
          <w:rFonts w:ascii="Garamond" w:eastAsia="Times New Roman" w:hAnsi="Garamond" w:cs="Times New Roman"/>
          <w:sz w:val="24"/>
          <w:szCs w:val="24"/>
          <w:lang w:eastAsia="en-GB"/>
        </w:rPr>
        <w:t xml:space="preserve">ontracts." </w:t>
      </w:r>
      <w:r w:rsidRPr="00606BE5">
        <w:rPr>
          <w:rFonts w:ascii="Garamond" w:eastAsia="Times New Roman" w:hAnsi="Garamond" w:cs="Times New Roman"/>
          <w:i/>
          <w:iCs/>
          <w:sz w:val="24"/>
          <w:szCs w:val="24"/>
          <w:lang w:eastAsia="en-GB"/>
        </w:rPr>
        <w:t>Journal of Political Economy</w:t>
      </w:r>
      <w:r w:rsidR="009E2768">
        <w:rPr>
          <w:rFonts w:ascii="Garamond" w:eastAsia="Times New Roman" w:hAnsi="Garamond" w:cs="Times New Roman"/>
          <w:sz w:val="24"/>
          <w:szCs w:val="24"/>
          <w:lang w:eastAsia="en-GB"/>
        </w:rPr>
        <w:t xml:space="preserve"> 89</w:t>
      </w:r>
      <w:r w:rsidRPr="00606BE5">
        <w:rPr>
          <w:rFonts w:ascii="Garamond" w:eastAsia="Times New Roman" w:hAnsi="Garamond" w:cs="Times New Roman"/>
          <w:sz w:val="24"/>
          <w:szCs w:val="24"/>
          <w:lang w:eastAsia="en-GB"/>
        </w:rPr>
        <w:t xml:space="preserve"> (1981): 841-864.</w:t>
      </w:r>
    </w:p>
    <w:p w:rsidR="00227C61" w:rsidRDefault="00227C61" w:rsidP="005C5212">
      <w:pPr>
        <w:spacing w:after="0" w:line="240" w:lineRule="auto"/>
        <w:rPr>
          <w:rFonts w:ascii="Garamond" w:eastAsia="Times New Roman" w:hAnsi="Garamond" w:cs="Times New Roman"/>
          <w:sz w:val="24"/>
          <w:szCs w:val="24"/>
          <w:lang w:eastAsia="en-GB"/>
        </w:rPr>
      </w:pPr>
    </w:p>
    <w:p w:rsidR="00227C61" w:rsidRPr="006B3CA9" w:rsidRDefault="006B3CA9" w:rsidP="005C5212">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 xml:space="preserve">McLaughlin, Kenneth. ″Aspects of tournament theory: A survey″. In Ronald Ehrenberg (ed.) </w:t>
      </w:r>
      <w:r>
        <w:rPr>
          <w:rFonts w:ascii="Garamond" w:eastAsia="Times New Roman" w:hAnsi="Garamond" w:cs="Times New Roman"/>
          <w:i/>
          <w:sz w:val="24"/>
          <w:szCs w:val="24"/>
          <w:lang w:eastAsia="en-GB"/>
        </w:rPr>
        <w:t>Research in Labor Economics</w:t>
      </w:r>
      <w:r>
        <w:rPr>
          <w:rFonts w:ascii="Garamond" w:eastAsia="Times New Roman" w:hAnsi="Garamond" w:cs="Times New Roman"/>
          <w:sz w:val="24"/>
          <w:szCs w:val="24"/>
          <w:lang w:eastAsia="en-GB"/>
        </w:rPr>
        <w:t>, Vol. 9. JAI Press: New York. (1988): 225-256.</w:t>
      </w:r>
    </w:p>
    <w:p w:rsidR="005C5212" w:rsidRPr="00606BE5" w:rsidRDefault="005C5212" w:rsidP="006D55B9">
      <w:pPr>
        <w:spacing w:after="0" w:line="240" w:lineRule="auto"/>
        <w:rPr>
          <w:rFonts w:ascii="Garamond" w:eastAsia="Times New Roman" w:hAnsi="Garamond" w:cs="Times New Roman"/>
          <w:sz w:val="24"/>
          <w:szCs w:val="24"/>
          <w:lang w:eastAsia="en-GB"/>
        </w:rPr>
      </w:pPr>
    </w:p>
    <w:p w:rsidR="00920EBA" w:rsidRPr="00606BE5" w:rsidRDefault="00920EBA" w:rsidP="00920EBA">
      <w:pPr>
        <w:spacing w:after="0" w:line="240" w:lineRule="auto"/>
        <w:rPr>
          <w:rFonts w:ascii="Garamond" w:eastAsia="Times New Roman" w:hAnsi="Garamond" w:cs="Times New Roman"/>
          <w:i/>
          <w:sz w:val="24"/>
          <w:szCs w:val="24"/>
          <w:lang w:eastAsia="en-GB"/>
        </w:rPr>
      </w:pPr>
      <w:r w:rsidRPr="00606BE5">
        <w:rPr>
          <w:rFonts w:ascii="Garamond" w:eastAsia="Times New Roman" w:hAnsi="Garamond" w:cs="Times New Roman"/>
          <w:sz w:val="24"/>
          <w:szCs w:val="24"/>
          <w:lang w:eastAsia="en-GB"/>
        </w:rPr>
        <w:t xml:space="preserve">Schokkaert, Jeroen, and Johan Swinnen. </w:t>
      </w:r>
      <w:r w:rsidRPr="00606BE5">
        <w:rPr>
          <w:rFonts w:ascii="Garamond" w:eastAsia="Times New Roman" w:hAnsi="Garamond" w:cs="Times New Roman"/>
          <w:i/>
          <w:iCs/>
          <w:sz w:val="24"/>
          <w:szCs w:val="24"/>
          <w:lang w:eastAsia="en-GB"/>
        </w:rPr>
        <w:t>It is harder, not easier, to predict the winner of the Champions League</w:t>
      </w:r>
      <w:r w:rsidRPr="00606BE5">
        <w:rPr>
          <w:rFonts w:ascii="Garamond" w:eastAsia="Times New Roman" w:hAnsi="Garamond" w:cs="Times New Roman"/>
          <w:sz w:val="24"/>
          <w:szCs w:val="24"/>
          <w:lang w:eastAsia="en-GB"/>
        </w:rPr>
        <w:t>. No. 329. LICOS Discussion Paper, 2013.</w:t>
      </w:r>
      <w:r w:rsidR="00606BE5" w:rsidRPr="00606BE5">
        <w:rPr>
          <w:rFonts w:ascii="Garamond" w:eastAsia="Times New Roman" w:hAnsi="Garamond" w:cs="Times New Roman"/>
          <w:sz w:val="24"/>
          <w:szCs w:val="24"/>
          <w:lang w:eastAsia="en-GB"/>
        </w:rPr>
        <w:t xml:space="preserve">  Forthcoming, </w:t>
      </w:r>
      <w:r w:rsidR="00606BE5" w:rsidRPr="00606BE5">
        <w:rPr>
          <w:rFonts w:ascii="Garamond" w:eastAsia="Times New Roman" w:hAnsi="Garamond" w:cs="Times New Roman"/>
          <w:i/>
          <w:sz w:val="24"/>
          <w:szCs w:val="24"/>
          <w:lang w:eastAsia="en-GB"/>
        </w:rPr>
        <w:t>Journal of Sports Economics.</w:t>
      </w:r>
    </w:p>
    <w:p w:rsidR="00920EBA" w:rsidRPr="00606BE5" w:rsidRDefault="00920EBA" w:rsidP="006D55B9">
      <w:pPr>
        <w:spacing w:after="0" w:line="240" w:lineRule="auto"/>
        <w:rPr>
          <w:rFonts w:ascii="Garamond" w:eastAsia="Times New Roman" w:hAnsi="Garamond" w:cs="Times New Roman"/>
          <w:sz w:val="24"/>
          <w:szCs w:val="24"/>
          <w:lang w:eastAsia="en-GB"/>
        </w:rPr>
      </w:pPr>
    </w:p>
    <w:p w:rsidR="009E2768" w:rsidRDefault="009E2768" w:rsidP="00BD6FCF">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Schotter, Andrew, and Keith Weigelt. ″Asymmetric tournaments, equal opportunity laws and affirmative action: Some experimental results.″</w:t>
      </w:r>
      <w:r>
        <w:rPr>
          <w:rFonts w:ascii="Garamond" w:eastAsia="Times New Roman" w:hAnsi="Garamond" w:cs="Times New Roman"/>
          <w:i/>
          <w:sz w:val="24"/>
          <w:szCs w:val="24"/>
          <w:lang w:eastAsia="en-GB"/>
        </w:rPr>
        <w:t>Quarterly Journal of Economics</w:t>
      </w:r>
      <w:r>
        <w:rPr>
          <w:rFonts w:ascii="Garamond" w:eastAsia="Times New Roman" w:hAnsi="Garamond" w:cs="Times New Roman"/>
          <w:sz w:val="24"/>
          <w:szCs w:val="24"/>
          <w:lang w:eastAsia="en-GB"/>
        </w:rPr>
        <w:t xml:space="preserve"> 107 (1992): 511-539.</w:t>
      </w:r>
    </w:p>
    <w:p w:rsidR="009E2768" w:rsidRDefault="009E2768" w:rsidP="00BD6FCF">
      <w:pPr>
        <w:spacing w:after="0" w:line="240" w:lineRule="auto"/>
        <w:rPr>
          <w:rFonts w:ascii="Garamond" w:eastAsia="Times New Roman" w:hAnsi="Garamond" w:cs="Times New Roman"/>
          <w:sz w:val="24"/>
          <w:szCs w:val="24"/>
          <w:lang w:eastAsia="en-GB"/>
        </w:rPr>
      </w:pPr>
    </w:p>
    <w:p w:rsidR="009E2768" w:rsidRDefault="009E2768" w:rsidP="00BD6FCF">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Simmons, Rob, and David Forrest. ″Buying success: Team salaries and performance in North American and European sports leagues.″</w:t>
      </w:r>
      <w:r w:rsidR="00A01416">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 xml:space="preserve">In Rodney Fort and John Fizel (eds.) </w:t>
      </w:r>
      <w:r>
        <w:rPr>
          <w:rFonts w:ascii="Garamond" w:eastAsia="Times New Roman" w:hAnsi="Garamond" w:cs="Times New Roman"/>
          <w:i/>
          <w:sz w:val="24"/>
          <w:szCs w:val="24"/>
          <w:lang w:eastAsia="en-GB"/>
        </w:rPr>
        <w:t>International Sports Economics Comparisons</w:t>
      </w:r>
      <w:r>
        <w:rPr>
          <w:rFonts w:ascii="Garamond" w:eastAsia="Times New Roman" w:hAnsi="Garamond" w:cs="Times New Roman"/>
          <w:sz w:val="24"/>
          <w:szCs w:val="24"/>
          <w:lang w:eastAsia="en-GB"/>
        </w:rPr>
        <w:t xml:space="preserve">. Praeger: Westport CT. </w:t>
      </w:r>
      <w:r w:rsidR="00A01416">
        <w:rPr>
          <w:rFonts w:ascii="Garamond" w:eastAsia="Times New Roman" w:hAnsi="Garamond" w:cs="Times New Roman"/>
          <w:sz w:val="24"/>
          <w:szCs w:val="24"/>
          <w:lang w:eastAsia="en-GB"/>
        </w:rPr>
        <w:t>(204): 123-140.</w:t>
      </w:r>
      <w:r>
        <w:rPr>
          <w:rFonts w:ascii="Garamond" w:eastAsia="Times New Roman" w:hAnsi="Garamond" w:cs="Times New Roman"/>
          <w:sz w:val="24"/>
          <w:szCs w:val="24"/>
          <w:lang w:eastAsia="en-GB"/>
        </w:rPr>
        <w:t xml:space="preserve"> </w:t>
      </w:r>
    </w:p>
    <w:p w:rsidR="009E2768" w:rsidRDefault="009E2768" w:rsidP="00BD6FCF">
      <w:pPr>
        <w:spacing w:after="0" w:line="240" w:lineRule="auto"/>
        <w:rPr>
          <w:rFonts w:ascii="Garamond" w:eastAsia="Times New Roman" w:hAnsi="Garamond" w:cs="Times New Roman"/>
          <w:sz w:val="24"/>
          <w:szCs w:val="24"/>
          <w:lang w:eastAsia="en-GB"/>
        </w:rPr>
      </w:pPr>
    </w:p>
    <w:p w:rsidR="00BD6FCF" w:rsidRDefault="00BD6FCF" w:rsidP="00BD6FCF">
      <w:pPr>
        <w:spacing w:after="0" w:line="240" w:lineRule="auto"/>
        <w:rPr>
          <w:rFonts w:ascii="Garamond" w:eastAsia="Times New Roman" w:hAnsi="Garamond" w:cs="Times New Roman"/>
          <w:sz w:val="24"/>
          <w:szCs w:val="24"/>
          <w:lang w:eastAsia="en-GB"/>
        </w:rPr>
      </w:pPr>
      <w:r w:rsidRPr="00606BE5">
        <w:rPr>
          <w:rFonts w:ascii="Garamond" w:eastAsia="Times New Roman" w:hAnsi="Garamond" w:cs="Times New Roman"/>
          <w:sz w:val="24"/>
          <w:szCs w:val="24"/>
          <w:lang w:eastAsia="en-GB"/>
        </w:rPr>
        <w:t xml:space="preserve">Sunde, Uwe. "Heterogeneity and performance in tournaments: a test for incentive effects using professional tennis data." </w:t>
      </w:r>
      <w:r w:rsidRPr="00606BE5">
        <w:rPr>
          <w:rFonts w:ascii="Garamond" w:eastAsia="Times New Roman" w:hAnsi="Garamond" w:cs="Times New Roman"/>
          <w:i/>
          <w:iCs/>
          <w:sz w:val="24"/>
          <w:szCs w:val="24"/>
          <w:lang w:eastAsia="en-GB"/>
        </w:rPr>
        <w:t>Applied Economics</w:t>
      </w:r>
      <w:r w:rsidR="00333AB2">
        <w:rPr>
          <w:rFonts w:ascii="Garamond" w:eastAsia="Times New Roman" w:hAnsi="Garamond" w:cs="Times New Roman"/>
          <w:sz w:val="24"/>
          <w:szCs w:val="24"/>
          <w:lang w:eastAsia="en-GB"/>
        </w:rPr>
        <w:t xml:space="preserve"> 41</w:t>
      </w:r>
      <w:r w:rsidRPr="00606BE5">
        <w:rPr>
          <w:rFonts w:ascii="Garamond" w:eastAsia="Times New Roman" w:hAnsi="Garamond" w:cs="Times New Roman"/>
          <w:sz w:val="24"/>
          <w:szCs w:val="24"/>
          <w:lang w:eastAsia="en-GB"/>
        </w:rPr>
        <w:t xml:space="preserve"> (2009): 3199-3208.</w:t>
      </w:r>
    </w:p>
    <w:p w:rsidR="00A01416" w:rsidRDefault="00A01416" w:rsidP="00BD6FCF">
      <w:pPr>
        <w:spacing w:after="0" w:line="240" w:lineRule="auto"/>
        <w:rPr>
          <w:rFonts w:ascii="Garamond" w:eastAsia="Times New Roman" w:hAnsi="Garamond" w:cs="Times New Roman"/>
          <w:sz w:val="24"/>
          <w:szCs w:val="24"/>
          <w:lang w:eastAsia="en-GB"/>
        </w:rPr>
      </w:pPr>
    </w:p>
    <w:p w:rsidR="00A01416" w:rsidRDefault="00A01416" w:rsidP="00A01416">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Szymanski, Stefan. ″Wages, transfers and the variation of team performance in the English Premier League.</w:t>
      </w:r>
      <w:r w:rsidR="00333AB2">
        <w:rPr>
          <w:rFonts w:ascii="Garamond" w:eastAsia="Times New Roman" w:hAnsi="Garamond" w:cs="Times New Roman"/>
          <w:sz w:val="24"/>
          <w:szCs w:val="24"/>
          <w:lang w:eastAsia="en-GB"/>
        </w:rPr>
        <w:t>″</w:t>
      </w:r>
      <w:r>
        <w:rPr>
          <w:rFonts w:ascii="Garamond" w:eastAsia="Times New Roman" w:hAnsi="Garamond" w:cs="Times New Roman"/>
          <w:sz w:val="24"/>
          <w:szCs w:val="24"/>
          <w:lang w:eastAsia="en-GB"/>
        </w:rPr>
        <w:t xml:space="preserve"> In Plácido Rodríguez, Stefan Késenne and Jaume García (eds.) </w:t>
      </w:r>
      <w:r>
        <w:rPr>
          <w:rFonts w:ascii="Garamond" w:eastAsia="Times New Roman" w:hAnsi="Garamond" w:cs="Times New Roman"/>
          <w:i/>
          <w:sz w:val="24"/>
          <w:szCs w:val="24"/>
          <w:lang w:eastAsia="en-GB"/>
        </w:rPr>
        <w:t>The Econometrics of Sport</w:t>
      </w:r>
      <w:r>
        <w:rPr>
          <w:rFonts w:ascii="Garamond" w:eastAsia="Times New Roman" w:hAnsi="Garamond" w:cs="Times New Roman"/>
          <w:sz w:val="24"/>
          <w:szCs w:val="24"/>
          <w:lang w:eastAsia="en-GB"/>
        </w:rPr>
        <w:t>. Edward Elg</w:t>
      </w:r>
      <w:r w:rsidR="00227C61">
        <w:rPr>
          <w:rFonts w:ascii="Garamond" w:eastAsia="Times New Roman" w:hAnsi="Garamond" w:cs="Times New Roman"/>
          <w:sz w:val="24"/>
          <w:szCs w:val="24"/>
          <w:lang w:eastAsia="en-GB"/>
        </w:rPr>
        <w:t>ar: Cheltenham, UK (2013): 53-62</w:t>
      </w:r>
      <w:r>
        <w:rPr>
          <w:rFonts w:ascii="Garamond" w:eastAsia="Times New Roman" w:hAnsi="Garamond" w:cs="Times New Roman"/>
          <w:sz w:val="24"/>
          <w:szCs w:val="24"/>
          <w:lang w:eastAsia="en-GB"/>
        </w:rPr>
        <w:t>.</w:t>
      </w:r>
    </w:p>
    <w:p w:rsidR="001B1E78" w:rsidRDefault="001B1E78" w:rsidP="00A01416">
      <w:pPr>
        <w:spacing w:after="0" w:line="240" w:lineRule="auto"/>
        <w:rPr>
          <w:rFonts w:ascii="Garamond" w:eastAsia="Times New Roman" w:hAnsi="Garamond" w:cs="Times New Roman"/>
          <w:sz w:val="24"/>
          <w:szCs w:val="24"/>
          <w:lang w:eastAsia="en-GB"/>
        </w:rPr>
      </w:pPr>
    </w:p>
    <w:p w:rsidR="001B1E78" w:rsidRPr="00333AB2" w:rsidRDefault="001B1E78" w:rsidP="00A01416">
      <w:pPr>
        <w:spacing w:after="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Terviö, Marco. ″</w:t>
      </w:r>
      <w:r w:rsidR="00333AB2">
        <w:rPr>
          <w:rFonts w:ascii="Garamond" w:eastAsia="Times New Roman" w:hAnsi="Garamond" w:cs="Times New Roman"/>
          <w:sz w:val="24"/>
          <w:szCs w:val="24"/>
          <w:lang w:eastAsia="en-GB"/>
        </w:rPr>
        <w:t xml:space="preserve">Transfer fee regulations and player development″. </w:t>
      </w:r>
      <w:r w:rsidR="00333AB2">
        <w:rPr>
          <w:rFonts w:ascii="Garamond" w:eastAsia="Times New Roman" w:hAnsi="Garamond" w:cs="Times New Roman"/>
          <w:i/>
          <w:sz w:val="24"/>
          <w:szCs w:val="24"/>
          <w:lang w:eastAsia="en-GB"/>
        </w:rPr>
        <w:t xml:space="preserve">Journal of the European Economic Association </w:t>
      </w:r>
      <w:r w:rsidR="00333AB2">
        <w:rPr>
          <w:rFonts w:ascii="Garamond" w:eastAsia="Times New Roman" w:hAnsi="Garamond" w:cs="Times New Roman"/>
          <w:sz w:val="24"/>
          <w:szCs w:val="24"/>
          <w:lang w:eastAsia="en-GB"/>
        </w:rPr>
        <w:t>4</w:t>
      </w:r>
      <w:r w:rsidR="00333AB2">
        <w:rPr>
          <w:rFonts w:ascii="Garamond" w:eastAsia="Times New Roman" w:hAnsi="Garamond" w:cs="Times New Roman"/>
          <w:i/>
          <w:sz w:val="24"/>
          <w:szCs w:val="24"/>
          <w:lang w:eastAsia="en-GB"/>
        </w:rPr>
        <w:t xml:space="preserve"> </w:t>
      </w:r>
      <w:r w:rsidR="00333AB2">
        <w:rPr>
          <w:rFonts w:ascii="Garamond" w:eastAsia="Times New Roman" w:hAnsi="Garamond" w:cs="Times New Roman"/>
          <w:sz w:val="24"/>
          <w:szCs w:val="24"/>
          <w:lang w:eastAsia="en-GB"/>
        </w:rPr>
        <w:t>(2006): 957-987.</w:t>
      </w:r>
    </w:p>
    <w:p w:rsidR="00A01416" w:rsidRDefault="00A01416" w:rsidP="00BD6FCF">
      <w:pPr>
        <w:spacing w:after="0" w:line="240" w:lineRule="auto"/>
        <w:rPr>
          <w:rFonts w:ascii="Garamond" w:eastAsia="Times New Roman" w:hAnsi="Garamond" w:cs="Times New Roman"/>
          <w:sz w:val="24"/>
          <w:szCs w:val="24"/>
          <w:lang w:eastAsia="en-GB"/>
        </w:rPr>
      </w:pPr>
    </w:p>
    <w:p w:rsidR="00A01416" w:rsidRDefault="00A01416" w:rsidP="00BD6FCF">
      <w:pPr>
        <w:spacing w:after="0" w:line="240" w:lineRule="auto"/>
        <w:rPr>
          <w:rFonts w:ascii="Garamond" w:eastAsia="Times New Roman" w:hAnsi="Garamond" w:cs="Times New Roman"/>
          <w:sz w:val="24"/>
          <w:szCs w:val="24"/>
          <w:lang w:eastAsia="en-GB"/>
        </w:rPr>
      </w:pPr>
    </w:p>
    <w:p w:rsidR="00A01416" w:rsidRDefault="00A01416" w:rsidP="00BD6FCF">
      <w:pPr>
        <w:spacing w:after="0" w:line="240" w:lineRule="auto"/>
        <w:rPr>
          <w:rFonts w:ascii="Garamond" w:eastAsia="Times New Roman" w:hAnsi="Garamond" w:cs="Times New Roman"/>
          <w:sz w:val="24"/>
          <w:szCs w:val="24"/>
          <w:lang w:eastAsia="en-GB"/>
        </w:rPr>
      </w:pPr>
    </w:p>
    <w:p w:rsidR="00A01416" w:rsidRPr="00606BE5" w:rsidRDefault="00A01416" w:rsidP="00BD6FCF">
      <w:pPr>
        <w:spacing w:after="0" w:line="240" w:lineRule="auto"/>
        <w:rPr>
          <w:rFonts w:ascii="Garamond" w:eastAsia="Times New Roman" w:hAnsi="Garamond" w:cs="Times New Roman"/>
          <w:sz w:val="24"/>
          <w:szCs w:val="24"/>
          <w:lang w:eastAsia="en-GB"/>
        </w:rPr>
      </w:pPr>
    </w:p>
    <w:p w:rsidR="00BD6FCF" w:rsidRDefault="00BD6FCF" w:rsidP="00A93EAB">
      <w:pPr>
        <w:spacing w:line="480" w:lineRule="auto"/>
        <w:ind w:firstLine="720"/>
        <w:sectPr w:rsidR="00BD6FCF" w:rsidSect="00E522C9">
          <w:footerReference w:type="even" r:id="rId9"/>
          <w:footerReference w:type="default" r:id="rId10"/>
          <w:pgSz w:w="11906" w:h="16838"/>
          <w:pgMar w:top="1440" w:right="1440" w:bottom="1440" w:left="1440" w:header="708" w:footer="708" w:gutter="0"/>
          <w:cols w:space="708"/>
          <w:titlePg/>
          <w:docGrid w:linePitch="360"/>
        </w:sectPr>
      </w:pPr>
    </w:p>
    <w:p w:rsidR="00600551" w:rsidRDefault="00600551" w:rsidP="00600551">
      <w:pPr>
        <w:spacing w:line="240" w:lineRule="auto"/>
      </w:pPr>
      <w:r>
        <w:lastRenderedPageBreak/>
        <w:t>Table 1. Number of Spots per Country</w:t>
      </w:r>
    </w:p>
    <w:tbl>
      <w:tblPr>
        <w:tblStyle w:val="TableGrid"/>
        <w:tblW w:w="0" w:type="auto"/>
        <w:tblLook w:val="04A0" w:firstRow="1" w:lastRow="0" w:firstColumn="1" w:lastColumn="0" w:noHBand="0" w:noVBand="1"/>
      </w:tblPr>
      <w:tblGrid>
        <w:gridCol w:w="1417"/>
        <w:gridCol w:w="1152"/>
        <w:gridCol w:w="1152"/>
        <w:gridCol w:w="1152"/>
        <w:gridCol w:w="1152"/>
        <w:gridCol w:w="1152"/>
        <w:gridCol w:w="1152"/>
        <w:gridCol w:w="1152"/>
        <w:gridCol w:w="1152"/>
        <w:gridCol w:w="1152"/>
      </w:tblGrid>
      <w:tr w:rsidR="00600551" w:rsidTr="001218D2">
        <w:tc>
          <w:tcPr>
            <w:tcW w:w="1417" w:type="dxa"/>
            <w:vAlign w:val="bottom"/>
          </w:tcPr>
          <w:p w:rsidR="00600551" w:rsidRDefault="00600551" w:rsidP="00DF26DC">
            <w:pPr>
              <w:spacing w:line="480" w:lineRule="auto"/>
              <w:rPr>
                <w:rFonts w:ascii="Arial" w:eastAsia="Times New Roman" w:hAnsi="Arial" w:cs="Arial"/>
              </w:rPr>
            </w:pPr>
          </w:p>
        </w:tc>
        <w:tc>
          <w:tcPr>
            <w:tcW w:w="1152" w:type="dxa"/>
            <w:vAlign w:val="bottom"/>
          </w:tcPr>
          <w:p w:rsidR="00600551" w:rsidRDefault="00600551" w:rsidP="00DF26DC">
            <w:pPr>
              <w:spacing w:line="480" w:lineRule="auto"/>
              <w:rPr>
                <w:rFonts w:ascii="Arial" w:eastAsia="Times New Roman" w:hAnsi="Arial" w:cs="Arial"/>
              </w:rPr>
            </w:pPr>
            <w:r>
              <w:rPr>
                <w:rFonts w:ascii="Arial" w:eastAsia="Times New Roman" w:hAnsi="Arial" w:cs="Arial"/>
              </w:rPr>
              <w:t>(1)</w:t>
            </w:r>
          </w:p>
        </w:tc>
        <w:tc>
          <w:tcPr>
            <w:tcW w:w="1152" w:type="dxa"/>
            <w:vAlign w:val="bottom"/>
          </w:tcPr>
          <w:p w:rsidR="00600551" w:rsidRDefault="00600551" w:rsidP="00DF26DC">
            <w:pPr>
              <w:spacing w:line="480" w:lineRule="auto"/>
              <w:rPr>
                <w:rFonts w:ascii="Arial" w:eastAsia="Times New Roman" w:hAnsi="Arial" w:cs="Arial"/>
              </w:rPr>
            </w:pPr>
            <w:r>
              <w:rPr>
                <w:rFonts w:ascii="Arial" w:eastAsia="Times New Roman" w:hAnsi="Arial" w:cs="Arial"/>
              </w:rPr>
              <w:t>(2)</w:t>
            </w:r>
          </w:p>
        </w:tc>
        <w:tc>
          <w:tcPr>
            <w:tcW w:w="1152" w:type="dxa"/>
            <w:vAlign w:val="bottom"/>
          </w:tcPr>
          <w:p w:rsidR="00600551" w:rsidRDefault="00600551" w:rsidP="00DF26DC">
            <w:pPr>
              <w:spacing w:line="480" w:lineRule="auto"/>
              <w:rPr>
                <w:rFonts w:ascii="Arial" w:eastAsia="Times New Roman" w:hAnsi="Arial" w:cs="Arial"/>
              </w:rPr>
            </w:pPr>
            <w:r>
              <w:rPr>
                <w:rFonts w:ascii="Arial" w:eastAsia="Times New Roman" w:hAnsi="Arial" w:cs="Arial"/>
              </w:rPr>
              <w:t>(3)</w:t>
            </w:r>
          </w:p>
        </w:tc>
        <w:tc>
          <w:tcPr>
            <w:tcW w:w="1152" w:type="dxa"/>
            <w:vAlign w:val="bottom"/>
          </w:tcPr>
          <w:p w:rsidR="00600551" w:rsidRDefault="00600551" w:rsidP="00DF26DC">
            <w:pPr>
              <w:spacing w:line="480" w:lineRule="auto"/>
              <w:rPr>
                <w:rFonts w:ascii="Arial" w:eastAsia="Times New Roman" w:hAnsi="Arial" w:cs="Arial"/>
              </w:rPr>
            </w:pPr>
            <w:r>
              <w:rPr>
                <w:rFonts w:ascii="Arial" w:eastAsia="Times New Roman" w:hAnsi="Arial" w:cs="Arial"/>
              </w:rPr>
              <w:t>(4)</w:t>
            </w:r>
          </w:p>
        </w:tc>
        <w:tc>
          <w:tcPr>
            <w:tcW w:w="1152" w:type="dxa"/>
            <w:vAlign w:val="bottom"/>
          </w:tcPr>
          <w:p w:rsidR="00600551" w:rsidRDefault="00600551" w:rsidP="00DF26DC">
            <w:pPr>
              <w:spacing w:line="480" w:lineRule="auto"/>
              <w:rPr>
                <w:rFonts w:ascii="Arial" w:eastAsia="Times New Roman" w:hAnsi="Arial" w:cs="Arial"/>
              </w:rPr>
            </w:pPr>
            <w:r>
              <w:rPr>
                <w:rFonts w:ascii="Arial" w:eastAsia="Times New Roman" w:hAnsi="Arial" w:cs="Arial"/>
              </w:rPr>
              <w:t>(5)</w:t>
            </w:r>
          </w:p>
        </w:tc>
        <w:tc>
          <w:tcPr>
            <w:tcW w:w="1152" w:type="dxa"/>
            <w:vAlign w:val="bottom"/>
          </w:tcPr>
          <w:p w:rsidR="00600551" w:rsidRDefault="00600551" w:rsidP="00DF26DC">
            <w:pPr>
              <w:spacing w:line="480" w:lineRule="auto"/>
              <w:rPr>
                <w:rFonts w:ascii="Arial" w:eastAsia="Times New Roman" w:hAnsi="Arial" w:cs="Arial"/>
              </w:rPr>
            </w:pPr>
            <w:r>
              <w:rPr>
                <w:rFonts w:ascii="Arial" w:eastAsia="Times New Roman" w:hAnsi="Arial" w:cs="Arial"/>
              </w:rPr>
              <w:t>(6)</w:t>
            </w:r>
          </w:p>
        </w:tc>
        <w:tc>
          <w:tcPr>
            <w:tcW w:w="1152" w:type="dxa"/>
            <w:vAlign w:val="bottom"/>
          </w:tcPr>
          <w:p w:rsidR="00600551" w:rsidRDefault="00600551" w:rsidP="00DF26DC">
            <w:pPr>
              <w:spacing w:line="480" w:lineRule="auto"/>
              <w:rPr>
                <w:rFonts w:ascii="Arial" w:eastAsia="Times New Roman" w:hAnsi="Arial" w:cs="Arial"/>
              </w:rPr>
            </w:pPr>
            <w:r>
              <w:rPr>
                <w:rFonts w:ascii="Arial" w:eastAsia="Times New Roman" w:hAnsi="Arial" w:cs="Arial"/>
              </w:rPr>
              <w:t>(7)</w:t>
            </w:r>
          </w:p>
        </w:tc>
        <w:tc>
          <w:tcPr>
            <w:tcW w:w="1152" w:type="dxa"/>
            <w:vAlign w:val="bottom"/>
          </w:tcPr>
          <w:p w:rsidR="00600551" w:rsidRDefault="00600551" w:rsidP="00DF26DC">
            <w:pPr>
              <w:spacing w:line="480" w:lineRule="auto"/>
              <w:rPr>
                <w:rFonts w:ascii="Arial" w:eastAsia="Times New Roman" w:hAnsi="Arial" w:cs="Arial"/>
              </w:rPr>
            </w:pPr>
            <w:r>
              <w:rPr>
                <w:rFonts w:ascii="Arial" w:eastAsia="Times New Roman" w:hAnsi="Arial" w:cs="Arial"/>
              </w:rPr>
              <w:t>(8)</w:t>
            </w:r>
          </w:p>
        </w:tc>
        <w:tc>
          <w:tcPr>
            <w:tcW w:w="1152" w:type="dxa"/>
            <w:vAlign w:val="bottom"/>
          </w:tcPr>
          <w:p w:rsidR="00600551" w:rsidRDefault="00600551" w:rsidP="00DF26DC">
            <w:pPr>
              <w:spacing w:line="480" w:lineRule="auto"/>
              <w:rPr>
                <w:rFonts w:ascii="Arial" w:eastAsia="Times New Roman" w:hAnsi="Arial" w:cs="Arial"/>
              </w:rPr>
            </w:pPr>
            <w:r>
              <w:rPr>
                <w:rFonts w:ascii="Arial" w:eastAsia="Times New Roman" w:hAnsi="Arial" w:cs="Arial"/>
              </w:rPr>
              <w:t>(9)</w:t>
            </w:r>
          </w:p>
        </w:tc>
      </w:tr>
      <w:tr w:rsidR="00D71CE0" w:rsidTr="001218D2">
        <w:tc>
          <w:tcPr>
            <w:tcW w:w="1417" w:type="dxa"/>
            <w:vAlign w:val="bottom"/>
          </w:tcPr>
          <w:p w:rsidR="00D71CE0" w:rsidRDefault="00D71CE0" w:rsidP="00DF26DC">
            <w:pPr>
              <w:spacing w:line="480" w:lineRule="auto"/>
            </w:pPr>
          </w:p>
        </w:tc>
        <w:tc>
          <w:tcPr>
            <w:tcW w:w="1152" w:type="dxa"/>
            <w:vAlign w:val="center"/>
          </w:tcPr>
          <w:p w:rsidR="00D71CE0" w:rsidRDefault="00D71CE0" w:rsidP="00D71CE0">
            <w:pPr>
              <w:spacing w:line="480" w:lineRule="auto"/>
              <w:jc w:val="center"/>
            </w:pPr>
            <w:r w:rsidRPr="005D2367">
              <w:t>2005</w:t>
            </w:r>
          </w:p>
        </w:tc>
        <w:tc>
          <w:tcPr>
            <w:tcW w:w="1152" w:type="dxa"/>
            <w:vAlign w:val="center"/>
          </w:tcPr>
          <w:p w:rsidR="00D71CE0" w:rsidRDefault="00D71CE0" w:rsidP="00D71CE0">
            <w:pPr>
              <w:spacing w:line="480" w:lineRule="auto"/>
              <w:jc w:val="center"/>
            </w:pPr>
            <w:r w:rsidRPr="005D2367">
              <w:t>2006</w:t>
            </w:r>
          </w:p>
        </w:tc>
        <w:tc>
          <w:tcPr>
            <w:tcW w:w="1152" w:type="dxa"/>
            <w:vAlign w:val="center"/>
          </w:tcPr>
          <w:p w:rsidR="00D71CE0" w:rsidRDefault="00D71CE0" w:rsidP="00D71CE0">
            <w:pPr>
              <w:spacing w:line="480" w:lineRule="auto"/>
              <w:jc w:val="center"/>
            </w:pPr>
            <w:r w:rsidRPr="005D2367">
              <w:t>2007</w:t>
            </w:r>
          </w:p>
        </w:tc>
        <w:tc>
          <w:tcPr>
            <w:tcW w:w="1152" w:type="dxa"/>
            <w:vAlign w:val="center"/>
          </w:tcPr>
          <w:p w:rsidR="00D71CE0" w:rsidRDefault="00D71CE0" w:rsidP="00D71CE0">
            <w:pPr>
              <w:spacing w:line="480" w:lineRule="auto"/>
              <w:jc w:val="center"/>
            </w:pPr>
            <w:r w:rsidRPr="005D2367">
              <w:t>2008</w:t>
            </w:r>
          </w:p>
        </w:tc>
        <w:tc>
          <w:tcPr>
            <w:tcW w:w="1152" w:type="dxa"/>
            <w:vAlign w:val="center"/>
          </w:tcPr>
          <w:p w:rsidR="00D71CE0" w:rsidRDefault="00D71CE0" w:rsidP="00D71CE0">
            <w:pPr>
              <w:spacing w:line="480" w:lineRule="auto"/>
              <w:jc w:val="center"/>
            </w:pPr>
            <w:r w:rsidRPr="005D2367">
              <w:t>2009</w:t>
            </w:r>
          </w:p>
        </w:tc>
        <w:tc>
          <w:tcPr>
            <w:tcW w:w="1152" w:type="dxa"/>
            <w:vAlign w:val="center"/>
          </w:tcPr>
          <w:p w:rsidR="00D71CE0" w:rsidRDefault="00D71CE0" w:rsidP="00D71CE0">
            <w:pPr>
              <w:spacing w:line="480" w:lineRule="auto"/>
              <w:jc w:val="center"/>
            </w:pPr>
            <w:r w:rsidRPr="005D2367">
              <w:t>2010</w:t>
            </w:r>
          </w:p>
        </w:tc>
        <w:tc>
          <w:tcPr>
            <w:tcW w:w="1152" w:type="dxa"/>
            <w:vAlign w:val="center"/>
          </w:tcPr>
          <w:p w:rsidR="00D71CE0" w:rsidRDefault="00D71CE0" w:rsidP="00D71CE0">
            <w:pPr>
              <w:spacing w:line="480" w:lineRule="auto"/>
              <w:jc w:val="center"/>
            </w:pPr>
            <w:r w:rsidRPr="005D2367">
              <w:t>2011</w:t>
            </w:r>
          </w:p>
        </w:tc>
        <w:tc>
          <w:tcPr>
            <w:tcW w:w="1152" w:type="dxa"/>
            <w:vAlign w:val="center"/>
          </w:tcPr>
          <w:p w:rsidR="00D71CE0" w:rsidRDefault="00D71CE0" w:rsidP="00D71CE0">
            <w:pPr>
              <w:spacing w:line="480" w:lineRule="auto"/>
              <w:jc w:val="center"/>
            </w:pPr>
            <w:r w:rsidRPr="005D2367">
              <w:t>2012</w:t>
            </w:r>
          </w:p>
        </w:tc>
        <w:tc>
          <w:tcPr>
            <w:tcW w:w="1152" w:type="dxa"/>
            <w:vAlign w:val="center"/>
          </w:tcPr>
          <w:p w:rsidR="00D71CE0" w:rsidRDefault="00D71CE0" w:rsidP="00D71CE0">
            <w:pPr>
              <w:spacing w:line="480" w:lineRule="auto"/>
              <w:jc w:val="center"/>
            </w:pPr>
            <w:r w:rsidRPr="005D2367">
              <w:t>2013</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t>England</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t>Spain</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t>Italy</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t>France</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t>Germany</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c>
          <w:tcPr>
            <w:tcW w:w="1152" w:type="dxa"/>
            <w:vAlign w:val="center"/>
          </w:tcPr>
          <w:p w:rsidR="00D71CE0" w:rsidRDefault="00D71CE0" w:rsidP="00D71CE0">
            <w:pPr>
              <w:spacing w:line="480" w:lineRule="auto"/>
              <w:jc w:val="center"/>
            </w:pPr>
            <w:r w:rsidRPr="005D2367">
              <w:t>4</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t>Turkey</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t>Netherlands</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t>Portugal</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c>
          <w:tcPr>
            <w:tcW w:w="1152" w:type="dxa"/>
            <w:vAlign w:val="center"/>
          </w:tcPr>
          <w:p w:rsidR="00D71CE0" w:rsidRDefault="00D71CE0" w:rsidP="00D71CE0">
            <w:pPr>
              <w:spacing w:line="480" w:lineRule="auto"/>
              <w:jc w:val="center"/>
            </w:pPr>
            <w:r w:rsidRPr="005D2367">
              <w:t>3</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t>Belgium</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t>Greece</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t>Scotland</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t>Poland</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t>Austria</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r>
      <w:tr w:rsidR="00D71CE0" w:rsidTr="001218D2">
        <w:tc>
          <w:tcPr>
            <w:tcW w:w="1417" w:type="dxa"/>
            <w:vAlign w:val="bottom"/>
          </w:tcPr>
          <w:p w:rsidR="00D71CE0" w:rsidRDefault="00D71CE0" w:rsidP="00DF26DC">
            <w:pPr>
              <w:spacing w:line="480" w:lineRule="auto"/>
            </w:pPr>
            <w:r>
              <w:rPr>
                <w:rFonts w:ascii="Arial" w:eastAsia="Times New Roman" w:hAnsi="Arial" w:cs="Arial"/>
              </w:rPr>
              <w:lastRenderedPageBreak/>
              <w:t>Switzerland</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1</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c>
          <w:tcPr>
            <w:tcW w:w="1152" w:type="dxa"/>
            <w:vAlign w:val="center"/>
          </w:tcPr>
          <w:p w:rsidR="00D71CE0" w:rsidRDefault="00D71CE0" w:rsidP="00D71CE0">
            <w:pPr>
              <w:spacing w:line="480" w:lineRule="auto"/>
              <w:jc w:val="center"/>
            </w:pPr>
            <w:r w:rsidRPr="005D2367">
              <w:t>2</w:t>
            </w:r>
          </w:p>
        </w:tc>
      </w:tr>
    </w:tbl>
    <w:p w:rsidR="00600551" w:rsidRDefault="00600551" w:rsidP="00A93EAB">
      <w:pPr>
        <w:spacing w:line="480" w:lineRule="auto"/>
        <w:ind w:firstLine="720"/>
        <w:sectPr w:rsidR="00600551" w:rsidSect="00600551">
          <w:pgSz w:w="16840" w:h="11900" w:orient="landscape"/>
          <w:pgMar w:top="1440" w:right="1440" w:bottom="1440" w:left="1440" w:header="708" w:footer="708" w:gutter="0"/>
          <w:cols w:space="708"/>
          <w:titlePg/>
          <w:docGrid w:linePitch="360"/>
        </w:sectPr>
      </w:pPr>
    </w:p>
    <w:p w:rsidR="007C100A" w:rsidRDefault="007C100A" w:rsidP="00A93EAB">
      <w:pPr>
        <w:spacing w:line="480" w:lineRule="auto"/>
        <w:ind w:firstLine="720"/>
      </w:pPr>
      <w:r>
        <w:lastRenderedPageBreak/>
        <w:t>Table 2</w:t>
      </w:r>
      <w:r w:rsidR="00EC1833">
        <w:t xml:space="preserve"> Qualification Places and Payroll, </w:t>
      </w:r>
    </w:p>
    <w:tbl>
      <w:tblPr>
        <w:tblW w:w="9220" w:type="dxa"/>
        <w:tblInd w:w="93" w:type="dxa"/>
        <w:tblLook w:val="04A0" w:firstRow="1" w:lastRow="0" w:firstColumn="1" w:lastColumn="0" w:noHBand="0" w:noVBand="1"/>
      </w:tblPr>
      <w:tblGrid>
        <w:gridCol w:w="3500"/>
        <w:gridCol w:w="1062"/>
        <w:gridCol w:w="1062"/>
        <w:gridCol w:w="1062"/>
        <w:gridCol w:w="1062"/>
        <w:gridCol w:w="961"/>
        <w:gridCol w:w="984"/>
      </w:tblGrid>
      <w:tr w:rsidR="00EC1833" w:rsidRPr="00EC1833" w:rsidTr="00EC1833">
        <w:trPr>
          <w:trHeight w:val="255"/>
        </w:trPr>
        <w:tc>
          <w:tcPr>
            <w:tcW w:w="350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 </w:t>
            </w:r>
          </w:p>
        </w:tc>
        <w:tc>
          <w:tcPr>
            <w:tcW w:w="96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(1)</w:t>
            </w:r>
          </w:p>
        </w:tc>
        <w:tc>
          <w:tcPr>
            <w:tcW w:w="96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(2)</w:t>
            </w:r>
          </w:p>
        </w:tc>
        <w:tc>
          <w:tcPr>
            <w:tcW w:w="92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(3)</w:t>
            </w:r>
          </w:p>
        </w:tc>
        <w:tc>
          <w:tcPr>
            <w:tcW w:w="96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(4)</w:t>
            </w:r>
          </w:p>
        </w:tc>
        <w:tc>
          <w:tcPr>
            <w:tcW w:w="96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(5)</w:t>
            </w:r>
          </w:p>
        </w:tc>
        <w:tc>
          <w:tcPr>
            <w:tcW w:w="96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(6)</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VARIABLES</w:t>
            </w:r>
          </w:p>
        </w:tc>
        <w:tc>
          <w:tcPr>
            <w:tcW w:w="960" w:type="dxa"/>
            <w:tcBorders>
              <w:top w:val="nil"/>
              <w:left w:val="nil"/>
              <w:bottom w:val="nil"/>
              <w:right w:val="nil"/>
            </w:tcBorders>
            <w:shd w:val="clear" w:color="auto" w:fill="auto"/>
            <w:noWrap/>
            <w:vAlign w:val="bottom"/>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20" w:type="dxa"/>
            <w:tcBorders>
              <w:top w:val="nil"/>
              <w:left w:val="nil"/>
              <w:bottom w:val="nil"/>
              <w:right w:val="nil"/>
            </w:tcBorders>
            <w:shd w:val="clear" w:color="auto" w:fill="auto"/>
            <w:noWrap/>
            <w:vAlign w:val="bottom"/>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tcPr>
          <w:p w:rsidR="00EC1833" w:rsidRPr="00EC1833" w:rsidRDefault="00EC1833" w:rsidP="00EC1833">
            <w:pPr>
              <w:spacing w:after="0" w:line="240" w:lineRule="auto"/>
              <w:jc w:val="center"/>
              <w:rPr>
                <w:rFonts w:ascii="Arial" w:eastAsia="Times New Roman" w:hAnsi="Arial" w:cs="Arial"/>
                <w:sz w:val="20"/>
                <w:szCs w:val="20"/>
                <w:lang w:eastAsia="en-GB"/>
              </w:rPr>
            </w:pPr>
          </w:p>
        </w:tc>
      </w:tr>
      <w:tr w:rsidR="00EC1833" w:rsidRPr="00EC1833" w:rsidTr="00EC1833">
        <w:trPr>
          <w:trHeight w:val="255"/>
        </w:trPr>
        <w:tc>
          <w:tcPr>
            <w:tcW w:w="350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 </w:t>
            </w:r>
          </w:p>
        </w:tc>
        <w:tc>
          <w:tcPr>
            <w:tcW w:w="96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 </w:t>
            </w:r>
          </w:p>
        </w:tc>
        <w:tc>
          <w:tcPr>
            <w:tcW w:w="96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 </w:t>
            </w:r>
          </w:p>
        </w:tc>
        <w:tc>
          <w:tcPr>
            <w:tcW w:w="92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 </w:t>
            </w:r>
          </w:p>
        </w:tc>
        <w:tc>
          <w:tcPr>
            <w:tcW w:w="96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 </w:t>
            </w:r>
          </w:p>
        </w:tc>
        <w:tc>
          <w:tcPr>
            <w:tcW w:w="96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 </w:t>
            </w:r>
          </w:p>
        </w:tc>
        <w:tc>
          <w:tcPr>
            <w:tcW w:w="960" w:type="dxa"/>
            <w:tcBorders>
              <w:top w:val="single" w:sz="4" w:space="0" w:color="000000"/>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 </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Last observed value</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0.667***</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0.740***</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0.704***</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0.930***</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(0.034)</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(0.160)</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(0.049)</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(0.195)</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Last observed relative value</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-0.075</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-0.233</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(0.164)</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(0.209)</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Top 2X UEFA Spots</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0.208***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0.172***</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0.168***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0.224***</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0.135**</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0.120**</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(0.052)</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(0.052)</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(0.051)</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(0.054)</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(0.059)</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(0.057)</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3-5X UEFA Spots</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0.139***</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0.192***</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0.188***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0.157***</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0.173***</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0.158***</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(0.039)</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(0.050)</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(0.049)</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(0.040)</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(0.053)</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(0.052)</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6-7X UEFA Spots</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0.151***</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0.166***</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0.162***</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0.154***</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0.192***</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0.178***</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(0.049)</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(0.054)</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(0.053)</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(0.055)</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(0.056)</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8+X UEFA Spots</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0.073*</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0.131***</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0.126***</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0.064</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0.128**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0.110**</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(0.042)</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(0.049)</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(0.047)</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(0.046)</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(0.054)</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(0.051)</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3-5</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-0.019</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-0.295***</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-0.295***</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-0.011</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-0.364***</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-0.371***</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(0.124)</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(0.098)</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(0.098)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(0.128)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(0.119)</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(0.119)</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6-7</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-0.187</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-0.443***</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-0.444***</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-0.066</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-0.502***</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-0.509***</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(0.166)</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(0.115)</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(0.114)</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(0.166)</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(0.138)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(0.134)</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-0.097</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-0.471***</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-0.471***</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0.046</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-0.558***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-0.557***</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(0.148)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(0.106)</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(0.106)</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(0.156)</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(0.158)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(0.155)</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year</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0.023***</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-0.022***</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-0.025**</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0.028***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-0.018*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-0.026*</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(0.005)</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(0.007)</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(0.010)</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(0.008)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(0.010)</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(0.014)</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Constant</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-36.408***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47.922***</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53.882***</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-45.749***</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38.376*</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52.799**</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(9.618)</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(12.995)</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(19.701)</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(15.610)</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(19.823)</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(26.600)</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Observations</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926</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519</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519</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344</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200</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200</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R-squared</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0.962</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0.932</w:t>
            </w: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0.932</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0.969</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0.946</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0.947</w:t>
            </w:r>
          </w:p>
        </w:tc>
      </w:tr>
      <w:tr w:rsidR="00EC1833" w:rsidRPr="00EC1833" w:rsidTr="00EC1833">
        <w:trPr>
          <w:trHeight w:val="255"/>
        </w:trPr>
        <w:tc>
          <w:tcPr>
            <w:tcW w:w="3500" w:type="dxa"/>
            <w:tcBorders>
              <w:top w:val="nil"/>
              <w:left w:val="nil"/>
              <w:bottom w:val="single" w:sz="4" w:space="0" w:color="000000"/>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FE</w:t>
            </w:r>
          </w:p>
        </w:tc>
        <w:tc>
          <w:tcPr>
            <w:tcW w:w="960" w:type="dxa"/>
            <w:tcBorders>
              <w:top w:val="nil"/>
              <w:left w:val="nil"/>
              <w:bottom w:val="single" w:sz="4" w:space="0" w:color="000000"/>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Club</w:t>
            </w:r>
          </w:p>
        </w:tc>
        <w:tc>
          <w:tcPr>
            <w:tcW w:w="960" w:type="dxa"/>
            <w:tcBorders>
              <w:top w:val="nil"/>
              <w:left w:val="nil"/>
              <w:bottom w:val="single" w:sz="4" w:space="0" w:color="000000"/>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Country</w:t>
            </w:r>
          </w:p>
        </w:tc>
        <w:tc>
          <w:tcPr>
            <w:tcW w:w="920" w:type="dxa"/>
            <w:tcBorders>
              <w:top w:val="nil"/>
              <w:left w:val="nil"/>
              <w:bottom w:val="single" w:sz="4" w:space="0" w:color="000000"/>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Country</w:t>
            </w:r>
          </w:p>
        </w:tc>
        <w:tc>
          <w:tcPr>
            <w:tcW w:w="960" w:type="dxa"/>
            <w:tcBorders>
              <w:top w:val="nil"/>
              <w:left w:val="nil"/>
              <w:bottom w:val="single" w:sz="4" w:space="0" w:color="000000"/>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Club</w:t>
            </w:r>
          </w:p>
        </w:tc>
        <w:tc>
          <w:tcPr>
            <w:tcW w:w="960" w:type="dxa"/>
            <w:tcBorders>
              <w:top w:val="nil"/>
              <w:left w:val="nil"/>
              <w:bottom w:val="single" w:sz="4" w:space="0" w:color="000000"/>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Country</w:t>
            </w:r>
          </w:p>
        </w:tc>
        <w:tc>
          <w:tcPr>
            <w:tcW w:w="960" w:type="dxa"/>
            <w:tcBorders>
              <w:top w:val="nil"/>
              <w:left w:val="nil"/>
              <w:bottom w:val="single" w:sz="4" w:space="0" w:color="000000"/>
              <w:right w:val="nil"/>
            </w:tcBorders>
            <w:shd w:val="clear" w:color="auto" w:fill="auto"/>
            <w:noWrap/>
            <w:vAlign w:val="bottom"/>
            <w:hideMark/>
          </w:tcPr>
          <w:p w:rsidR="00EC1833" w:rsidRPr="00EC1833" w:rsidRDefault="00EC1833" w:rsidP="00EC1833">
            <w:pPr>
              <w:spacing w:after="0" w:line="240" w:lineRule="auto"/>
              <w:jc w:val="center"/>
              <w:rPr>
                <w:rFonts w:ascii="Arial" w:eastAsia="Times New Roman" w:hAnsi="Arial" w:cs="Arial"/>
                <w:sz w:val="20"/>
                <w:szCs w:val="20"/>
                <w:lang w:eastAsia="en-GB"/>
              </w:rPr>
            </w:pPr>
            <w:r w:rsidRPr="00EC1833">
              <w:rPr>
                <w:rFonts w:ascii="Arial" w:eastAsia="Times New Roman" w:hAnsi="Arial" w:cs="Arial"/>
                <w:sz w:val="20"/>
                <w:szCs w:val="20"/>
                <w:lang w:eastAsia="en-GB"/>
              </w:rPr>
              <w:t>Country</w:t>
            </w: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Robust standard errors in parentheses</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r>
      <w:tr w:rsidR="00EC1833" w:rsidRPr="00EC1833" w:rsidTr="00EC1833">
        <w:trPr>
          <w:trHeight w:val="255"/>
        </w:trPr>
        <w:tc>
          <w:tcPr>
            <w:tcW w:w="350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r w:rsidRPr="00EC1833">
              <w:rPr>
                <w:rFonts w:ascii="Arial" w:eastAsia="Times New Roman" w:hAnsi="Arial" w:cs="Arial"/>
                <w:sz w:val="20"/>
                <w:szCs w:val="20"/>
                <w:lang w:eastAsia="en-GB"/>
              </w:rPr>
              <w:t>*** p&lt;0.01, ** p&lt;0.05, * p&lt;0.1</w:t>
            </w: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2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EC1833" w:rsidRPr="00EC1833" w:rsidRDefault="00EC1833" w:rsidP="00EC1833">
            <w:pPr>
              <w:spacing w:after="0" w:line="240" w:lineRule="auto"/>
              <w:rPr>
                <w:rFonts w:ascii="Arial" w:eastAsia="Times New Roman" w:hAnsi="Arial" w:cs="Arial"/>
                <w:sz w:val="20"/>
                <w:szCs w:val="20"/>
                <w:lang w:eastAsia="en-GB"/>
              </w:rPr>
            </w:pPr>
          </w:p>
        </w:tc>
      </w:tr>
    </w:tbl>
    <w:p w:rsidR="007C100A" w:rsidRDefault="007C100A" w:rsidP="007C100A">
      <w:r>
        <w:br w:type="page"/>
      </w:r>
    </w:p>
    <w:p w:rsidR="007C100A" w:rsidRDefault="007C100A" w:rsidP="007C100A">
      <w:pPr>
        <w:spacing w:after="0" w:line="480" w:lineRule="auto"/>
        <w:ind w:firstLine="720"/>
      </w:pPr>
      <w:r>
        <w:lastRenderedPageBreak/>
        <w:t>Table 3</w:t>
      </w:r>
      <w:r w:rsidR="00671545">
        <w:t xml:space="preserve"> Pay</w:t>
      </w:r>
      <w:r w:rsidR="003F2F46">
        <w:t>roll</w:t>
      </w:r>
      <w:r w:rsidR="00671545">
        <w:t xml:space="preserve"> and Distance from Qualification</w:t>
      </w:r>
    </w:p>
    <w:tbl>
      <w:tblPr>
        <w:tblW w:w="9636" w:type="dxa"/>
        <w:tblInd w:w="93" w:type="dxa"/>
        <w:tblLook w:val="04A0" w:firstRow="1" w:lastRow="0" w:firstColumn="1" w:lastColumn="0" w:noHBand="0" w:noVBand="1"/>
      </w:tblPr>
      <w:tblGrid>
        <w:gridCol w:w="3443"/>
        <w:gridCol w:w="1062"/>
        <w:gridCol w:w="1062"/>
        <w:gridCol w:w="1062"/>
        <w:gridCol w:w="1062"/>
        <w:gridCol w:w="961"/>
        <w:gridCol w:w="984"/>
      </w:tblGrid>
      <w:tr w:rsidR="00671545" w:rsidRPr="00671545" w:rsidTr="00671545">
        <w:trPr>
          <w:trHeight w:val="255"/>
        </w:trPr>
        <w:tc>
          <w:tcPr>
            <w:tcW w:w="3443"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1062"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w:t>
            </w:r>
          </w:p>
        </w:tc>
        <w:tc>
          <w:tcPr>
            <w:tcW w:w="1062"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(2)</w:t>
            </w:r>
          </w:p>
        </w:tc>
        <w:tc>
          <w:tcPr>
            <w:tcW w:w="1062"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(3)</w:t>
            </w:r>
          </w:p>
        </w:tc>
        <w:tc>
          <w:tcPr>
            <w:tcW w:w="1062"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(4)</w:t>
            </w:r>
          </w:p>
        </w:tc>
        <w:tc>
          <w:tcPr>
            <w:tcW w:w="961"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(5)</w:t>
            </w:r>
          </w:p>
        </w:tc>
        <w:tc>
          <w:tcPr>
            <w:tcW w:w="984"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(6)</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VARIABLES</w:t>
            </w:r>
          </w:p>
        </w:tc>
        <w:tc>
          <w:tcPr>
            <w:tcW w:w="1062" w:type="dxa"/>
            <w:tcBorders>
              <w:top w:val="nil"/>
              <w:left w:val="nil"/>
              <w:bottom w:val="nil"/>
              <w:right w:val="nil"/>
            </w:tcBorders>
            <w:shd w:val="clear" w:color="auto" w:fill="auto"/>
            <w:noWrap/>
            <w:vAlign w:val="bottom"/>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84" w:type="dxa"/>
            <w:tcBorders>
              <w:top w:val="nil"/>
              <w:left w:val="nil"/>
              <w:bottom w:val="nil"/>
              <w:right w:val="nil"/>
            </w:tcBorders>
            <w:shd w:val="clear" w:color="auto" w:fill="auto"/>
            <w:noWrap/>
            <w:vAlign w:val="bottom"/>
          </w:tcPr>
          <w:p w:rsidR="00671545" w:rsidRPr="00671545" w:rsidRDefault="00671545" w:rsidP="00671545">
            <w:pPr>
              <w:spacing w:after="0" w:line="240" w:lineRule="auto"/>
              <w:jc w:val="center"/>
              <w:rPr>
                <w:rFonts w:ascii="Arial" w:eastAsia="Times New Roman" w:hAnsi="Arial" w:cs="Arial"/>
                <w:sz w:val="20"/>
                <w:szCs w:val="20"/>
                <w:lang w:eastAsia="en-GB"/>
              </w:rPr>
            </w:pPr>
          </w:p>
        </w:tc>
      </w:tr>
      <w:tr w:rsidR="00671545" w:rsidRPr="00671545" w:rsidTr="00671545">
        <w:trPr>
          <w:trHeight w:val="255"/>
        </w:trPr>
        <w:tc>
          <w:tcPr>
            <w:tcW w:w="3443"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1062"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1062"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1062"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1062"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961"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984"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Last observed value</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0.688***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0.812***</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0.723***</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1.062***</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(0.034)</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(0.168)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(0.049)</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(0.212)</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Last observed relative value</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-0.127</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-0.346</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(0.170)</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(0.218)</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1-3 Spots Away</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-0.194***</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-0.253***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-0.254***</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-0.241***</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-0.310***</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-0.310***</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(0.052)</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(0.052)</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(0.070)</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(0.078)</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(0.079)</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4-6 Spots Away</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-0.368***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-0.463***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-0.465***</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-0.294***</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-0.426***</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-0.434***</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(0.069)</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(0.087)</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(0.091)</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(0.091)</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7+ Spots Away</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-0.478***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-0.556***</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-0.557***</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-0.538***</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-0.685***</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-0.682***</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(0.071)</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(0.104)</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(0.104)</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(0.103)</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Extra Spot X Qualified Champions</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0.077</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-0.040</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-0.035</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0.030</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-0.099</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-0.080</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(0.109)</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(0.105)</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(0.107)</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(0.114)</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(0.117)</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Extra Spot X 1-3 Spots Away</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0.122</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0.173*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0.178*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0.155</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0.224**</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0.236**</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(0.095)</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(0.101)</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(0.101)</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(0.111)</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(0.103)</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(0.102)</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Extra Spot X 4-6 Spots Away</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0.158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0.115</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0.116</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0.030</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0.052</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0.061</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(0.112)</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(0.095)</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(0.096)</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(0.126)</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(0.107)</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(0.109)</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Extra Spot X 7+ Spots Away</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0.120</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-0.012</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-0.008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0.256***</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0.267</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0.276</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(0.090)</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(0.124)</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(0.086)</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(0.166)</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(0.168)</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Spot Less X Qualified Champions</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0.034</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-0.149</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-0.156</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0.013</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-0.230*</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-0.242*</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(0.121)</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(0.133)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(0.135)</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(0.114)</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(0.136)</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(0.142)</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Spot Less X 1-3 Spots Away</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0.004</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-0.043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-0.047</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0.050</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0.008</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-0.002</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(0.110)</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(0.091)</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(0.092)</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Spot Less X 4-6 Spots Away</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0.210*</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0.179</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0.175</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0.128</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0.140</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0.141</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(0.121)</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(0.114)</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(0.135)</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(0.127)</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Spot Less X 7+ Spots Away</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-0.061</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0.045</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0.007</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0.185**</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0.158*</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(0.121)</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(0.082)</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(0.126)</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(0.087)</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(0.084)</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year</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0.021***</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-0.022***</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-0.028**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0.031***</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-0.014</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-0.030*</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(0.005)</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(0.007)</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(0.011)</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(0.008)</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(0.009)</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(0.015)</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Constant</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-32.653***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47.158***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58.260***</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-52.411***</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30.958</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59.186**</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(10.478)</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(13.220)</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(20.533)</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(16.519)</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(18.927)</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(28.429)</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Observations</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810</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514</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514</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299</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199</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199</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R-squared</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0.962</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0.931</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0.931</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0.972</w:t>
            </w: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0.949</w:t>
            </w: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0.950</w:t>
            </w:r>
          </w:p>
        </w:tc>
      </w:tr>
      <w:tr w:rsidR="00671545" w:rsidRPr="00671545" w:rsidTr="00671545">
        <w:trPr>
          <w:trHeight w:val="255"/>
        </w:trPr>
        <w:tc>
          <w:tcPr>
            <w:tcW w:w="3443"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FE</w:t>
            </w:r>
          </w:p>
        </w:tc>
        <w:tc>
          <w:tcPr>
            <w:tcW w:w="1062"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Club</w:t>
            </w:r>
          </w:p>
        </w:tc>
        <w:tc>
          <w:tcPr>
            <w:tcW w:w="1062"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Country</w:t>
            </w:r>
          </w:p>
        </w:tc>
        <w:tc>
          <w:tcPr>
            <w:tcW w:w="1062"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Country</w:t>
            </w:r>
          </w:p>
        </w:tc>
        <w:tc>
          <w:tcPr>
            <w:tcW w:w="1062"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Club</w:t>
            </w:r>
          </w:p>
        </w:tc>
        <w:tc>
          <w:tcPr>
            <w:tcW w:w="961"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Country</w:t>
            </w:r>
          </w:p>
        </w:tc>
        <w:tc>
          <w:tcPr>
            <w:tcW w:w="984"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Country</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Robust standard errors in parentheses</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 p&lt;0.01, ** p&lt;0.05, * p&lt;0.1</w:t>
            </w: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1062"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84"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r>
    </w:tbl>
    <w:p w:rsidR="00671545" w:rsidRDefault="00671545" w:rsidP="00A93EAB">
      <w:pPr>
        <w:spacing w:line="480" w:lineRule="auto"/>
        <w:ind w:firstLine="720"/>
        <w:sectPr w:rsidR="00671545" w:rsidSect="00600551">
          <w:pgSz w:w="11900" w:h="16840"/>
          <w:pgMar w:top="1440" w:right="1440" w:bottom="1440" w:left="1440" w:header="708" w:footer="708" w:gutter="0"/>
          <w:cols w:space="708"/>
          <w:titlePg/>
          <w:docGrid w:linePitch="360"/>
        </w:sectPr>
      </w:pPr>
    </w:p>
    <w:p w:rsidR="007C100A" w:rsidRDefault="00671545" w:rsidP="00E47E9B">
      <w:pPr>
        <w:spacing w:line="240" w:lineRule="auto"/>
        <w:ind w:firstLine="720"/>
      </w:pPr>
      <w:r>
        <w:lastRenderedPageBreak/>
        <w:t>Table 4, Payroll and Distance (points) from qualification</w:t>
      </w:r>
    </w:p>
    <w:tbl>
      <w:tblPr>
        <w:tblW w:w="9203" w:type="dxa"/>
        <w:tblInd w:w="93" w:type="dxa"/>
        <w:tblLook w:val="04A0" w:firstRow="1" w:lastRow="0" w:firstColumn="1" w:lastColumn="0" w:noHBand="0" w:noVBand="1"/>
      </w:tblPr>
      <w:tblGrid>
        <w:gridCol w:w="3443"/>
        <w:gridCol w:w="1062"/>
        <w:gridCol w:w="1062"/>
        <w:gridCol w:w="984"/>
        <w:gridCol w:w="1062"/>
        <w:gridCol w:w="961"/>
        <w:gridCol w:w="984"/>
      </w:tblGrid>
      <w:tr w:rsidR="00671545" w:rsidRPr="00671545" w:rsidTr="00671545">
        <w:trPr>
          <w:trHeight w:val="255"/>
        </w:trPr>
        <w:tc>
          <w:tcPr>
            <w:tcW w:w="3443"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960"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w:t>
            </w:r>
          </w:p>
        </w:tc>
        <w:tc>
          <w:tcPr>
            <w:tcW w:w="960"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(2)</w:t>
            </w:r>
          </w:p>
        </w:tc>
        <w:tc>
          <w:tcPr>
            <w:tcW w:w="960"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(3)</w:t>
            </w:r>
          </w:p>
        </w:tc>
        <w:tc>
          <w:tcPr>
            <w:tcW w:w="960"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(4)</w:t>
            </w:r>
          </w:p>
        </w:tc>
        <w:tc>
          <w:tcPr>
            <w:tcW w:w="960"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(5)</w:t>
            </w:r>
          </w:p>
        </w:tc>
        <w:tc>
          <w:tcPr>
            <w:tcW w:w="960"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(6)</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VARIABLES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payroll</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payroll</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payroll</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payroll</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payroll</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payroll</w:t>
            </w:r>
          </w:p>
        </w:tc>
      </w:tr>
      <w:tr w:rsidR="00671545" w:rsidRPr="00671545" w:rsidTr="00671545">
        <w:trPr>
          <w:trHeight w:val="255"/>
        </w:trPr>
        <w:tc>
          <w:tcPr>
            <w:tcW w:w="3443"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960"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960"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960"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960"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960"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c>
          <w:tcPr>
            <w:tcW w:w="960" w:type="dxa"/>
            <w:tcBorders>
              <w:top w:val="single" w:sz="4" w:space="0" w:color="000000"/>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 </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Last observed relative value</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-0.358</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(0.185)</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(0.259)</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Last observed value</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0.660***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0.577***</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0.709***</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1.066***</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(0.033)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(0.183)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(0.049)</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(0.250)</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1-6 Points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-0.137**</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-0.213***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-0.213***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-0.146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-0.144</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(0.062)</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(0.065)</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(0.065)</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(0.075)</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(0.089)</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(0.090)</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7-15 Points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-0.250***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-0.329***</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-0.328***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-0.291***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-0.324***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-0.329***</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(0.087)</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16+ Points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-0.402***</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-0.540***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-0.539***</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-0.360***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-0.507***</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-0.505***</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(0.077)</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(0.090)</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Extra Spot X Qualified Champions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-0.014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-0.062</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-0.009</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0.005</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(0.079)</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(0.085)</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Extra Spot X 1-6 Points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0.114**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0.235***</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0.221***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0.183***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0.249***</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(0.046)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(0.057)</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(0.068)</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Extra Spot X 7-15 Points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0.069</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0.139*</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0.105</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0.175*</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(0.096)</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Extra Spot X 16+ Points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0.131***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0.118***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0.165**</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(0.044)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(0.052)</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(0.044)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(0.068)</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Spot Less X Qualified Champions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-0.083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-0.079</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-0.107</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-0.052</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(0.052)</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(0.055)</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(0.065)</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(0.074)</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Spot Less X 1-6 Points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0.011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0.003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-0.100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-0.036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0.012</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(0.092)</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(0.090)</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Spot Less X 7-15 Points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-0.014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-0.028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-0.035</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0.002</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0.049</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(0.078)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(0.061)</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Spot Less X 16+ Points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-0.127**</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-0.194***</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-0.205***</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-0.152**</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-0.172**</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-0.115*</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(0.062)</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(0.057)</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(0.065)</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(0.067)</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(0.066)</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Constant</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-33.026***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48.830***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42.668**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-51.573***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45.382*</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58.448**</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(10.133)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(14.411)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(19.059)</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(15.586)</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(23.301)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(27.241)</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Observations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809</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513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513</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299</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198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198</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R-squared</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0.962</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0.930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0.930</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0.971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0.948</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0.948</w:t>
            </w:r>
          </w:p>
        </w:tc>
      </w:tr>
      <w:tr w:rsidR="00671545" w:rsidRPr="00671545" w:rsidTr="00671545">
        <w:trPr>
          <w:trHeight w:val="255"/>
        </w:trPr>
        <w:tc>
          <w:tcPr>
            <w:tcW w:w="3443"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FE</w:t>
            </w:r>
          </w:p>
        </w:tc>
        <w:tc>
          <w:tcPr>
            <w:tcW w:w="960"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Club</w:t>
            </w:r>
          </w:p>
        </w:tc>
        <w:tc>
          <w:tcPr>
            <w:tcW w:w="960"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Country</w:t>
            </w:r>
          </w:p>
        </w:tc>
        <w:tc>
          <w:tcPr>
            <w:tcW w:w="960"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Country</w:t>
            </w:r>
          </w:p>
        </w:tc>
        <w:tc>
          <w:tcPr>
            <w:tcW w:w="960"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Club</w:t>
            </w:r>
          </w:p>
        </w:tc>
        <w:tc>
          <w:tcPr>
            <w:tcW w:w="960"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Country</w:t>
            </w:r>
          </w:p>
        </w:tc>
        <w:tc>
          <w:tcPr>
            <w:tcW w:w="960" w:type="dxa"/>
            <w:tcBorders>
              <w:top w:val="nil"/>
              <w:left w:val="nil"/>
              <w:bottom w:val="single" w:sz="4" w:space="0" w:color="000000"/>
              <w:right w:val="nil"/>
            </w:tcBorders>
            <w:shd w:val="clear" w:color="auto" w:fill="auto"/>
            <w:noWrap/>
            <w:vAlign w:val="bottom"/>
            <w:hideMark/>
          </w:tcPr>
          <w:p w:rsidR="00671545" w:rsidRPr="00671545" w:rsidRDefault="00671545" w:rsidP="00671545">
            <w:pPr>
              <w:spacing w:after="0" w:line="240" w:lineRule="auto"/>
              <w:jc w:val="center"/>
              <w:rPr>
                <w:rFonts w:ascii="Arial" w:eastAsia="Times New Roman" w:hAnsi="Arial" w:cs="Arial"/>
                <w:sz w:val="20"/>
                <w:szCs w:val="20"/>
                <w:lang w:eastAsia="en-GB"/>
              </w:rPr>
            </w:pPr>
            <w:r w:rsidRPr="00671545">
              <w:rPr>
                <w:rFonts w:ascii="Arial" w:eastAsia="Times New Roman" w:hAnsi="Arial" w:cs="Arial"/>
                <w:sz w:val="20"/>
                <w:szCs w:val="20"/>
                <w:lang w:eastAsia="en-GB"/>
              </w:rPr>
              <w:t>Country</w:t>
            </w: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Robust standard errors in parentheses</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r>
      <w:tr w:rsidR="00671545" w:rsidRPr="00671545" w:rsidTr="00671545">
        <w:trPr>
          <w:trHeight w:val="255"/>
        </w:trPr>
        <w:tc>
          <w:tcPr>
            <w:tcW w:w="3443"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r w:rsidRPr="00671545">
              <w:rPr>
                <w:rFonts w:ascii="Arial" w:eastAsia="Times New Roman" w:hAnsi="Arial" w:cs="Arial"/>
                <w:sz w:val="20"/>
                <w:szCs w:val="20"/>
                <w:lang w:eastAsia="en-GB"/>
              </w:rPr>
              <w:t>*** p&lt;0.01, ** p&lt;0.05, * p&lt;0.1</w:t>
            </w: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671545" w:rsidRPr="00671545" w:rsidRDefault="00671545" w:rsidP="00671545">
            <w:pPr>
              <w:spacing w:after="0" w:line="240" w:lineRule="auto"/>
              <w:rPr>
                <w:rFonts w:ascii="Arial" w:eastAsia="Times New Roman" w:hAnsi="Arial" w:cs="Arial"/>
                <w:sz w:val="20"/>
                <w:szCs w:val="20"/>
                <w:lang w:eastAsia="en-GB"/>
              </w:rPr>
            </w:pPr>
          </w:p>
        </w:tc>
      </w:tr>
    </w:tbl>
    <w:p w:rsidR="00251735" w:rsidRDefault="00251735" w:rsidP="00A93EAB">
      <w:pPr>
        <w:spacing w:line="480" w:lineRule="auto"/>
        <w:ind w:firstLine="720"/>
      </w:pPr>
    </w:p>
    <w:p w:rsidR="00251735" w:rsidRDefault="00251735">
      <w:r>
        <w:br w:type="page"/>
      </w:r>
    </w:p>
    <w:p w:rsidR="00600551" w:rsidRDefault="00600551" w:rsidP="00600551">
      <w:pPr>
        <w:spacing w:line="480" w:lineRule="auto"/>
        <w:ind w:firstLine="720"/>
      </w:pPr>
      <w:r>
        <w:lastRenderedPageBreak/>
        <w:t>Figure 1</w:t>
      </w:r>
      <w:r w:rsidR="00F04973">
        <w:rPr>
          <w:noProof/>
          <w:lang w:val="en-US"/>
        </w:rPr>
        <w:drawing>
          <wp:inline distT="0" distB="0" distL="0" distR="0">
            <wp:extent cx="5029200" cy="3657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rsidR="00600551" w:rsidRDefault="00600551" w:rsidP="00A93EAB">
      <w:pPr>
        <w:spacing w:line="480" w:lineRule="auto"/>
        <w:ind w:firstLine="720"/>
      </w:pPr>
      <w:r>
        <w:t>Figure 2</w:t>
      </w:r>
    </w:p>
    <w:p w:rsidR="00600551" w:rsidRDefault="00F04973" w:rsidP="00F04973">
      <w:pPr>
        <w:spacing w:line="480" w:lineRule="auto"/>
        <w:ind w:firstLine="720"/>
      </w:pPr>
      <w:r>
        <w:rPr>
          <w:noProof/>
          <w:lang w:val="en-US"/>
        </w:rPr>
        <w:drawing>
          <wp:inline distT="0" distB="0" distL="0" distR="0">
            <wp:extent cx="5029200" cy="36576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sectPr w:rsidR="00600551" w:rsidSect="0060055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D3" w:rsidRDefault="00B17DD3" w:rsidP="00E522C9">
      <w:pPr>
        <w:spacing w:after="0" w:line="240" w:lineRule="auto"/>
      </w:pPr>
      <w:r>
        <w:separator/>
      </w:r>
    </w:p>
  </w:endnote>
  <w:endnote w:type="continuationSeparator" w:id="0">
    <w:p w:rsidR="00B17DD3" w:rsidRDefault="00B17DD3" w:rsidP="00E5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aramond">
    <w:altName w:val="Georgia"/>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FA" w:rsidRDefault="00550DFA" w:rsidP="00E522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0DFA" w:rsidRDefault="00550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FA" w:rsidRDefault="00550DFA" w:rsidP="00E522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199F">
      <w:rPr>
        <w:rStyle w:val="PageNumber"/>
        <w:noProof/>
      </w:rPr>
      <w:t>21</w:t>
    </w:r>
    <w:r>
      <w:rPr>
        <w:rStyle w:val="PageNumber"/>
      </w:rPr>
      <w:fldChar w:fldCharType="end"/>
    </w:r>
  </w:p>
  <w:p w:rsidR="00550DFA" w:rsidRDefault="0055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D3" w:rsidRDefault="00B17DD3" w:rsidP="00E522C9">
      <w:pPr>
        <w:spacing w:after="0" w:line="240" w:lineRule="auto"/>
      </w:pPr>
      <w:r>
        <w:separator/>
      </w:r>
    </w:p>
  </w:footnote>
  <w:footnote w:type="continuationSeparator" w:id="0">
    <w:p w:rsidR="00B17DD3" w:rsidRDefault="00B17DD3" w:rsidP="00E522C9">
      <w:pPr>
        <w:spacing w:after="0" w:line="240" w:lineRule="auto"/>
      </w:pPr>
      <w:r>
        <w:continuationSeparator/>
      </w:r>
    </w:p>
  </w:footnote>
  <w:footnote w:id="1">
    <w:p w:rsidR="00550DFA" w:rsidRPr="00550DFA" w:rsidRDefault="00550DFA">
      <w:pPr>
        <w:pStyle w:val="FootnoteText"/>
        <w:rPr>
          <w:rFonts w:ascii="Garamond" w:hAnsi="Garamond"/>
          <w:sz w:val="20"/>
          <w:szCs w:val="20"/>
        </w:rPr>
      </w:pPr>
      <w:r>
        <w:rPr>
          <w:rStyle w:val="FootnoteReference"/>
        </w:rPr>
        <w:footnoteRef/>
      </w:r>
      <w:r>
        <w:t xml:space="preserve"> </w:t>
      </w:r>
      <w:r w:rsidR="00512574">
        <w:rPr>
          <w:rFonts w:ascii="Garamond" w:hAnsi="Garamond"/>
          <w:sz w:val="20"/>
          <w:szCs w:val="20"/>
        </w:rPr>
        <w:t xml:space="preserve">Payroll data is available for X countries (list), the correlation coefficient between payroll data and transfer market team valuations is 0.91. Hence, we argue that our valuation data captures most of the variation that exists in the payroll information. </w:t>
      </w:r>
    </w:p>
  </w:footnote>
  <w:footnote w:id="2">
    <w:p w:rsidR="00550DFA" w:rsidRPr="00654141" w:rsidRDefault="00550DFA">
      <w:pPr>
        <w:pStyle w:val="FootnoteText"/>
        <w:rPr>
          <w:rFonts w:ascii="Garamond" w:hAnsi="Garamond"/>
        </w:rPr>
      </w:pPr>
      <w:r>
        <w:rPr>
          <w:rStyle w:val="FootnoteReference"/>
        </w:rPr>
        <w:footnoteRef/>
      </w:r>
      <w:r>
        <w:t xml:space="preserve"> </w:t>
      </w:r>
      <w:r>
        <w:rPr>
          <w:rFonts w:ascii="Garamond" w:hAnsi="Garamond"/>
        </w:rPr>
        <w:t>For an economic assessment of the football transfer market as a matching process, where transfer fees are compensation payments for loss of an asset, see Terviö (2006)</w:t>
      </w:r>
    </w:p>
  </w:footnote>
  <w:footnote w:id="3">
    <w:p w:rsidR="00550DFA" w:rsidRPr="00DD5E09" w:rsidRDefault="00550DFA">
      <w:pPr>
        <w:pStyle w:val="FootnoteText"/>
        <w:rPr>
          <w:rFonts w:ascii="Garamond" w:hAnsi="Garamond"/>
        </w:rPr>
      </w:pPr>
      <w:r>
        <w:rPr>
          <w:rStyle w:val="FootnoteReference"/>
        </w:rPr>
        <w:footnoteRef/>
      </w:r>
      <w:r>
        <w:t xml:space="preserve"> </w:t>
      </w:r>
      <w:r>
        <w:rPr>
          <w:rFonts w:ascii="Garamond" w:hAnsi="Garamond"/>
        </w:rPr>
        <w:t xml:space="preserve">Frick uses player valuation data from </w:t>
      </w:r>
      <w:r>
        <w:rPr>
          <w:rFonts w:ascii="Garamond" w:hAnsi="Garamond"/>
          <w:i/>
        </w:rPr>
        <w:t xml:space="preserve">Kicker </w:t>
      </w:r>
      <w:r>
        <w:rPr>
          <w:rFonts w:ascii="Garamond" w:hAnsi="Garamond"/>
        </w:rPr>
        <w:t xml:space="preserve">magazine but close inspection shows that </w:t>
      </w:r>
      <w:r>
        <w:rPr>
          <w:rFonts w:ascii="Garamond" w:hAnsi="Garamond"/>
          <w:i/>
        </w:rPr>
        <w:t xml:space="preserve">Kicker </w:t>
      </w:r>
      <w:r>
        <w:rPr>
          <w:rFonts w:ascii="Garamond" w:hAnsi="Garamond"/>
        </w:rPr>
        <w:t xml:space="preserve">valuations and </w:t>
      </w:r>
      <w:r>
        <w:rPr>
          <w:rFonts w:ascii="Garamond" w:hAnsi="Garamond"/>
          <w:i/>
        </w:rPr>
        <w:t xml:space="preserve">transfermarkt </w:t>
      </w:r>
      <w:r>
        <w:rPr>
          <w:rFonts w:ascii="Garamond" w:hAnsi="Garamond"/>
        </w:rPr>
        <w:t xml:space="preserve">valuations used here are closely correlated. Franck and Nüesch (2012) showed that </w:t>
      </w:r>
      <w:r>
        <w:rPr>
          <w:rFonts w:ascii="Garamond" w:hAnsi="Garamond"/>
          <w:i/>
        </w:rPr>
        <w:t xml:space="preserve">Kicker </w:t>
      </w:r>
      <w:r>
        <w:rPr>
          <w:rFonts w:ascii="Garamond" w:hAnsi="Garamond"/>
        </w:rPr>
        <w:t xml:space="preserve">and </w:t>
      </w:r>
      <w:r>
        <w:rPr>
          <w:rFonts w:ascii="Garamond" w:hAnsi="Garamond"/>
          <w:i/>
        </w:rPr>
        <w:t>transfermarkt</w:t>
      </w:r>
      <w:r>
        <w:rPr>
          <w:rFonts w:ascii="Garamond" w:hAnsi="Garamond"/>
        </w:rPr>
        <w:t xml:space="preserve"> valuations had a correlation coefficient of 0.89 in their study of Bundesliga players between 2001 and 2006.</w:t>
      </w:r>
    </w:p>
  </w:footnote>
  <w:footnote w:id="4">
    <w:p w:rsidR="00550DFA" w:rsidRDefault="00550DFA" w:rsidP="00520B24">
      <w:pPr>
        <w:spacing w:line="240" w:lineRule="auto"/>
        <w:rPr>
          <w:rFonts w:ascii="Garamond" w:hAnsi="Garamond"/>
          <w:sz w:val="24"/>
          <w:szCs w:val="24"/>
        </w:rPr>
      </w:pPr>
      <w:r>
        <w:rPr>
          <w:rStyle w:val="FootnoteReference"/>
        </w:rPr>
        <w:footnoteRef/>
      </w:r>
      <w:r>
        <w:t xml:space="preserve"> </w:t>
      </w:r>
      <w:r>
        <w:rPr>
          <w:rFonts w:ascii="Garamond" w:hAnsi="Garamond"/>
          <w:sz w:val="24"/>
          <w:szCs w:val="24"/>
        </w:rPr>
        <w:t>As different rounds are associated with different earnings it may be important to differentiate between teams that qualify directly to the group stage and teams that qualify into the earlier rounds. Our results are consistent if for example, we use the following rule that gives each team a fifty per-cent chance of advancing to the following round: Spots=Groups+.5Playoffs+.25Third+.125Second+.0625First.</w:t>
      </w:r>
    </w:p>
    <w:p w:rsidR="00550DFA" w:rsidRPr="00774DB6" w:rsidRDefault="00550DFA">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F4696"/>
    <w:multiLevelType w:val="hybridMultilevel"/>
    <w:tmpl w:val="C2EA3C28"/>
    <w:lvl w:ilvl="0" w:tplc="6958D9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8F657E"/>
    <w:multiLevelType w:val="hybridMultilevel"/>
    <w:tmpl w:val="B37AD71C"/>
    <w:lvl w:ilvl="0" w:tplc="B49A27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CD"/>
    <w:rsid w:val="00002C52"/>
    <w:rsid w:val="0001134D"/>
    <w:rsid w:val="000308B6"/>
    <w:rsid w:val="0003167A"/>
    <w:rsid w:val="00032822"/>
    <w:rsid w:val="000339F8"/>
    <w:rsid w:val="00043129"/>
    <w:rsid w:val="000656E6"/>
    <w:rsid w:val="00076521"/>
    <w:rsid w:val="000A12E4"/>
    <w:rsid w:val="000F424D"/>
    <w:rsid w:val="000F7406"/>
    <w:rsid w:val="001218D2"/>
    <w:rsid w:val="00133DAE"/>
    <w:rsid w:val="0013501D"/>
    <w:rsid w:val="00142DF0"/>
    <w:rsid w:val="00173888"/>
    <w:rsid w:val="001747AD"/>
    <w:rsid w:val="00194257"/>
    <w:rsid w:val="001B1E78"/>
    <w:rsid w:val="001B1FF0"/>
    <w:rsid w:val="001B7036"/>
    <w:rsid w:val="001C5996"/>
    <w:rsid w:val="001E4C5E"/>
    <w:rsid w:val="001E709D"/>
    <w:rsid w:val="00227C61"/>
    <w:rsid w:val="00251735"/>
    <w:rsid w:val="0025404B"/>
    <w:rsid w:val="002563A1"/>
    <w:rsid w:val="00260A26"/>
    <w:rsid w:val="00264792"/>
    <w:rsid w:val="00265FF3"/>
    <w:rsid w:val="00275128"/>
    <w:rsid w:val="002772DE"/>
    <w:rsid w:val="0027779A"/>
    <w:rsid w:val="00277A17"/>
    <w:rsid w:val="002807B0"/>
    <w:rsid w:val="00295F90"/>
    <w:rsid w:val="002B5A69"/>
    <w:rsid w:val="002D29AE"/>
    <w:rsid w:val="002E693D"/>
    <w:rsid w:val="002F0529"/>
    <w:rsid w:val="00305C13"/>
    <w:rsid w:val="003102C2"/>
    <w:rsid w:val="00323C61"/>
    <w:rsid w:val="00331F7E"/>
    <w:rsid w:val="00333AB2"/>
    <w:rsid w:val="00343088"/>
    <w:rsid w:val="00353F9C"/>
    <w:rsid w:val="00364D2F"/>
    <w:rsid w:val="0038784F"/>
    <w:rsid w:val="003A3A9F"/>
    <w:rsid w:val="003B39EE"/>
    <w:rsid w:val="003F2F46"/>
    <w:rsid w:val="00420F32"/>
    <w:rsid w:val="004235D6"/>
    <w:rsid w:val="0044289E"/>
    <w:rsid w:val="00474EA1"/>
    <w:rsid w:val="004F094E"/>
    <w:rsid w:val="00512574"/>
    <w:rsid w:val="00520B24"/>
    <w:rsid w:val="00523BF3"/>
    <w:rsid w:val="00540A52"/>
    <w:rsid w:val="0054762B"/>
    <w:rsid w:val="00550DFA"/>
    <w:rsid w:val="005557AC"/>
    <w:rsid w:val="0056680A"/>
    <w:rsid w:val="00582D28"/>
    <w:rsid w:val="005A3901"/>
    <w:rsid w:val="005C5212"/>
    <w:rsid w:val="00600551"/>
    <w:rsid w:val="00600B13"/>
    <w:rsid w:val="00606BE5"/>
    <w:rsid w:val="00631F94"/>
    <w:rsid w:val="0063295B"/>
    <w:rsid w:val="0064073E"/>
    <w:rsid w:val="006420D0"/>
    <w:rsid w:val="00654141"/>
    <w:rsid w:val="00662058"/>
    <w:rsid w:val="00671545"/>
    <w:rsid w:val="00690DFA"/>
    <w:rsid w:val="006A199F"/>
    <w:rsid w:val="006B3CA9"/>
    <w:rsid w:val="006C397F"/>
    <w:rsid w:val="006D516E"/>
    <w:rsid w:val="006D55B9"/>
    <w:rsid w:val="006D7FB2"/>
    <w:rsid w:val="006E1139"/>
    <w:rsid w:val="006E5288"/>
    <w:rsid w:val="00711537"/>
    <w:rsid w:val="007233FD"/>
    <w:rsid w:val="007379BD"/>
    <w:rsid w:val="00740E8F"/>
    <w:rsid w:val="00774DB6"/>
    <w:rsid w:val="007911B1"/>
    <w:rsid w:val="00795177"/>
    <w:rsid w:val="007A34AD"/>
    <w:rsid w:val="007C100A"/>
    <w:rsid w:val="007E2935"/>
    <w:rsid w:val="007F76BD"/>
    <w:rsid w:val="008005ED"/>
    <w:rsid w:val="00813B15"/>
    <w:rsid w:val="00825C42"/>
    <w:rsid w:val="008534B3"/>
    <w:rsid w:val="00857796"/>
    <w:rsid w:val="00870875"/>
    <w:rsid w:val="00873BBC"/>
    <w:rsid w:val="008A6B07"/>
    <w:rsid w:val="008A6D87"/>
    <w:rsid w:val="008A7768"/>
    <w:rsid w:val="008F1D55"/>
    <w:rsid w:val="00920EBA"/>
    <w:rsid w:val="009276E1"/>
    <w:rsid w:val="00942BFE"/>
    <w:rsid w:val="00946008"/>
    <w:rsid w:val="009520A4"/>
    <w:rsid w:val="009531C9"/>
    <w:rsid w:val="00965364"/>
    <w:rsid w:val="00970358"/>
    <w:rsid w:val="009B54AC"/>
    <w:rsid w:val="009E2768"/>
    <w:rsid w:val="009F25F9"/>
    <w:rsid w:val="009F2909"/>
    <w:rsid w:val="00A01416"/>
    <w:rsid w:val="00A07186"/>
    <w:rsid w:val="00A861CD"/>
    <w:rsid w:val="00A93EAB"/>
    <w:rsid w:val="00A95AC1"/>
    <w:rsid w:val="00AB3815"/>
    <w:rsid w:val="00AE3B3B"/>
    <w:rsid w:val="00AE69EF"/>
    <w:rsid w:val="00B03827"/>
    <w:rsid w:val="00B11FC0"/>
    <w:rsid w:val="00B12D19"/>
    <w:rsid w:val="00B17DD3"/>
    <w:rsid w:val="00B231FE"/>
    <w:rsid w:val="00B35686"/>
    <w:rsid w:val="00B533B0"/>
    <w:rsid w:val="00B67351"/>
    <w:rsid w:val="00B95993"/>
    <w:rsid w:val="00BC792F"/>
    <w:rsid w:val="00BD6FCF"/>
    <w:rsid w:val="00BE1863"/>
    <w:rsid w:val="00C123F4"/>
    <w:rsid w:val="00C46177"/>
    <w:rsid w:val="00C47571"/>
    <w:rsid w:val="00D11999"/>
    <w:rsid w:val="00D432BA"/>
    <w:rsid w:val="00D5212E"/>
    <w:rsid w:val="00D55BF3"/>
    <w:rsid w:val="00D645F0"/>
    <w:rsid w:val="00D71CE0"/>
    <w:rsid w:val="00D832A4"/>
    <w:rsid w:val="00D84296"/>
    <w:rsid w:val="00DC2B0F"/>
    <w:rsid w:val="00DD5E09"/>
    <w:rsid w:val="00DF26DC"/>
    <w:rsid w:val="00E02805"/>
    <w:rsid w:val="00E207EB"/>
    <w:rsid w:val="00E21200"/>
    <w:rsid w:val="00E3177E"/>
    <w:rsid w:val="00E47E9B"/>
    <w:rsid w:val="00E522C9"/>
    <w:rsid w:val="00E53F4A"/>
    <w:rsid w:val="00E61C50"/>
    <w:rsid w:val="00E817DF"/>
    <w:rsid w:val="00E82EEB"/>
    <w:rsid w:val="00E96993"/>
    <w:rsid w:val="00EA47A5"/>
    <w:rsid w:val="00EA51B4"/>
    <w:rsid w:val="00EB3E78"/>
    <w:rsid w:val="00EC1833"/>
    <w:rsid w:val="00EC7AA6"/>
    <w:rsid w:val="00EE31C6"/>
    <w:rsid w:val="00EF02DC"/>
    <w:rsid w:val="00F04973"/>
    <w:rsid w:val="00F16589"/>
    <w:rsid w:val="00F172B5"/>
    <w:rsid w:val="00F3505A"/>
    <w:rsid w:val="00F8252E"/>
    <w:rsid w:val="00F91957"/>
    <w:rsid w:val="00FA2379"/>
    <w:rsid w:val="00FC0DD8"/>
    <w:rsid w:val="00FF194D"/>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520EBA-564E-482F-A7A1-566A0862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22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22C9"/>
  </w:style>
  <w:style w:type="character" w:styleId="PageNumber">
    <w:name w:val="page number"/>
    <w:basedOn w:val="DefaultParagraphFont"/>
    <w:uiPriority w:val="99"/>
    <w:semiHidden/>
    <w:unhideWhenUsed/>
    <w:rsid w:val="00E522C9"/>
  </w:style>
  <w:style w:type="character" w:styleId="Hyperlink">
    <w:name w:val="Hyperlink"/>
    <w:basedOn w:val="DefaultParagraphFont"/>
    <w:uiPriority w:val="99"/>
    <w:unhideWhenUsed/>
    <w:rsid w:val="00FA2379"/>
    <w:rPr>
      <w:color w:val="0000FF" w:themeColor="hyperlink"/>
      <w:u w:val="single"/>
    </w:rPr>
  </w:style>
  <w:style w:type="character" w:styleId="PlaceholderText">
    <w:name w:val="Placeholder Text"/>
    <w:basedOn w:val="DefaultParagraphFont"/>
    <w:uiPriority w:val="99"/>
    <w:semiHidden/>
    <w:rsid w:val="0064073E"/>
    <w:rPr>
      <w:color w:val="808080"/>
    </w:rPr>
  </w:style>
  <w:style w:type="table" w:styleId="TableGrid">
    <w:name w:val="Table Grid"/>
    <w:basedOn w:val="TableNormal"/>
    <w:uiPriority w:val="59"/>
    <w:rsid w:val="00600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5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551"/>
    <w:rPr>
      <w:rFonts w:ascii="Lucida Grande" w:hAnsi="Lucida Grande" w:cs="Lucida Grande"/>
      <w:sz w:val="18"/>
      <w:szCs w:val="18"/>
    </w:rPr>
  </w:style>
  <w:style w:type="paragraph" w:styleId="FootnoteText">
    <w:name w:val="footnote text"/>
    <w:basedOn w:val="Normal"/>
    <w:link w:val="FootnoteTextChar"/>
    <w:uiPriority w:val="99"/>
    <w:unhideWhenUsed/>
    <w:rsid w:val="00774DB6"/>
    <w:pPr>
      <w:spacing w:after="0" w:line="240" w:lineRule="auto"/>
    </w:pPr>
    <w:rPr>
      <w:sz w:val="24"/>
      <w:szCs w:val="24"/>
    </w:rPr>
  </w:style>
  <w:style w:type="character" w:customStyle="1" w:styleId="FootnoteTextChar">
    <w:name w:val="Footnote Text Char"/>
    <w:basedOn w:val="DefaultParagraphFont"/>
    <w:link w:val="FootnoteText"/>
    <w:uiPriority w:val="99"/>
    <w:rsid w:val="00774DB6"/>
    <w:rPr>
      <w:sz w:val="24"/>
      <w:szCs w:val="24"/>
    </w:rPr>
  </w:style>
  <w:style w:type="character" w:styleId="FootnoteReference">
    <w:name w:val="footnote reference"/>
    <w:basedOn w:val="DefaultParagraphFont"/>
    <w:uiPriority w:val="99"/>
    <w:unhideWhenUsed/>
    <w:rsid w:val="00774DB6"/>
    <w:rPr>
      <w:vertAlign w:val="superscript"/>
    </w:rPr>
  </w:style>
  <w:style w:type="character" w:styleId="CommentReference">
    <w:name w:val="annotation reference"/>
    <w:basedOn w:val="DefaultParagraphFont"/>
    <w:uiPriority w:val="99"/>
    <w:semiHidden/>
    <w:unhideWhenUsed/>
    <w:rsid w:val="00F172B5"/>
    <w:rPr>
      <w:sz w:val="16"/>
      <w:szCs w:val="16"/>
    </w:rPr>
  </w:style>
  <w:style w:type="paragraph" w:styleId="CommentText">
    <w:name w:val="annotation text"/>
    <w:basedOn w:val="Normal"/>
    <w:link w:val="CommentTextChar"/>
    <w:uiPriority w:val="99"/>
    <w:semiHidden/>
    <w:unhideWhenUsed/>
    <w:rsid w:val="00F172B5"/>
    <w:pPr>
      <w:spacing w:line="240" w:lineRule="auto"/>
    </w:pPr>
    <w:rPr>
      <w:sz w:val="20"/>
      <w:szCs w:val="20"/>
    </w:rPr>
  </w:style>
  <w:style w:type="character" w:customStyle="1" w:styleId="CommentTextChar">
    <w:name w:val="Comment Text Char"/>
    <w:basedOn w:val="DefaultParagraphFont"/>
    <w:link w:val="CommentText"/>
    <w:uiPriority w:val="99"/>
    <w:semiHidden/>
    <w:rsid w:val="00F172B5"/>
    <w:rPr>
      <w:sz w:val="20"/>
      <w:szCs w:val="20"/>
    </w:rPr>
  </w:style>
  <w:style w:type="paragraph" w:styleId="CommentSubject">
    <w:name w:val="annotation subject"/>
    <w:basedOn w:val="CommentText"/>
    <w:next w:val="CommentText"/>
    <w:link w:val="CommentSubjectChar"/>
    <w:uiPriority w:val="99"/>
    <w:semiHidden/>
    <w:unhideWhenUsed/>
    <w:rsid w:val="00F172B5"/>
    <w:rPr>
      <w:b/>
      <w:bCs/>
    </w:rPr>
  </w:style>
  <w:style w:type="character" w:customStyle="1" w:styleId="CommentSubjectChar">
    <w:name w:val="Comment Subject Char"/>
    <w:basedOn w:val="CommentTextChar"/>
    <w:link w:val="CommentSubject"/>
    <w:uiPriority w:val="99"/>
    <w:semiHidden/>
    <w:rsid w:val="00F172B5"/>
    <w:rPr>
      <w:b/>
      <w:bCs/>
      <w:sz w:val="20"/>
      <w:szCs w:val="20"/>
    </w:rPr>
  </w:style>
  <w:style w:type="paragraph" w:styleId="ListParagraph">
    <w:name w:val="List Paragraph"/>
    <w:basedOn w:val="Normal"/>
    <w:uiPriority w:val="34"/>
    <w:qFormat/>
    <w:rsid w:val="00032822"/>
    <w:pPr>
      <w:ind w:left="720"/>
      <w:contextualSpacing/>
    </w:pPr>
  </w:style>
  <w:style w:type="paragraph" w:styleId="Header">
    <w:name w:val="header"/>
    <w:basedOn w:val="Normal"/>
    <w:link w:val="HeaderChar"/>
    <w:uiPriority w:val="99"/>
    <w:unhideWhenUsed/>
    <w:rsid w:val="008A6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09231">
      <w:bodyDiv w:val="1"/>
      <w:marLeft w:val="0"/>
      <w:marRight w:val="0"/>
      <w:marTop w:val="0"/>
      <w:marBottom w:val="0"/>
      <w:divBdr>
        <w:top w:val="none" w:sz="0" w:space="0" w:color="auto"/>
        <w:left w:val="none" w:sz="0" w:space="0" w:color="auto"/>
        <w:bottom w:val="none" w:sz="0" w:space="0" w:color="auto"/>
        <w:right w:val="none" w:sz="0" w:space="0" w:color="auto"/>
      </w:divBdr>
    </w:div>
    <w:div w:id="395595502">
      <w:bodyDiv w:val="1"/>
      <w:marLeft w:val="0"/>
      <w:marRight w:val="0"/>
      <w:marTop w:val="0"/>
      <w:marBottom w:val="0"/>
      <w:divBdr>
        <w:top w:val="none" w:sz="0" w:space="0" w:color="auto"/>
        <w:left w:val="none" w:sz="0" w:space="0" w:color="auto"/>
        <w:bottom w:val="none" w:sz="0" w:space="0" w:color="auto"/>
        <w:right w:val="none" w:sz="0" w:space="0" w:color="auto"/>
      </w:divBdr>
    </w:div>
    <w:div w:id="506361069">
      <w:bodyDiv w:val="1"/>
      <w:marLeft w:val="0"/>
      <w:marRight w:val="0"/>
      <w:marTop w:val="0"/>
      <w:marBottom w:val="0"/>
      <w:divBdr>
        <w:top w:val="none" w:sz="0" w:space="0" w:color="auto"/>
        <w:left w:val="none" w:sz="0" w:space="0" w:color="auto"/>
        <w:bottom w:val="none" w:sz="0" w:space="0" w:color="auto"/>
        <w:right w:val="none" w:sz="0" w:space="0" w:color="auto"/>
      </w:divBdr>
      <w:divsChild>
        <w:div w:id="1143085996">
          <w:marLeft w:val="0"/>
          <w:marRight w:val="0"/>
          <w:marTop w:val="0"/>
          <w:marBottom w:val="0"/>
          <w:divBdr>
            <w:top w:val="none" w:sz="0" w:space="0" w:color="auto"/>
            <w:left w:val="none" w:sz="0" w:space="0" w:color="auto"/>
            <w:bottom w:val="none" w:sz="0" w:space="0" w:color="auto"/>
            <w:right w:val="none" w:sz="0" w:space="0" w:color="auto"/>
          </w:divBdr>
        </w:div>
      </w:divsChild>
    </w:div>
    <w:div w:id="67857797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09">
          <w:marLeft w:val="0"/>
          <w:marRight w:val="0"/>
          <w:marTop w:val="0"/>
          <w:marBottom w:val="0"/>
          <w:divBdr>
            <w:top w:val="none" w:sz="0" w:space="0" w:color="auto"/>
            <w:left w:val="none" w:sz="0" w:space="0" w:color="auto"/>
            <w:bottom w:val="none" w:sz="0" w:space="0" w:color="auto"/>
            <w:right w:val="none" w:sz="0" w:space="0" w:color="auto"/>
          </w:divBdr>
        </w:div>
      </w:divsChild>
    </w:div>
    <w:div w:id="810288882">
      <w:bodyDiv w:val="1"/>
      <w:marLeft w:val="0"/>
      <w:marRight w:val="0"/>
      <w:marTop w:val="0"/>
      <w:marBottom w:val="0"/>
      <w:divBdr>
        <w:top w:val="none" w:sz="0" w:space="0" w:color="auto"/>
        <w:left w:val="none" w:sz="0" w:space="0" w:color="auto"/>
        <w:bottom w:val="none" w:sz="0" w:space="0" w:color="auto"/>
        <w:right w:val="none" w:sz="0" w:space="0" w:color="auto"/>
      </w:divBdr>
      <w:divsChild>
        <w:div w:id="941571071">
          <w:marLeft w:val="0"/>
          <w:marRight w:val="0"/>
          <w:marTop w:val="0"/>
          <w:marBottom w:val="0"/>
          <w:divBdr>
            <w:top w:val="none" w:sz="0" w:space="0" w:color="auto"/>
            <w:left w:val="none" w:sz="0" w:space="0" w:color="auto"/>
            <w:bottom w:val="none" w:sz="0" w:space="0" w:color="auto"/>
            <w:right w:val="none" w:sz="0" w:space="0" w:color="auto"/>
          </w:divBdr>
        </w:div>
      </w:divsChild>
    </w:div>
    <w:div w:id="1257471663">
      <w:bodyDiv w:val="1"/>
      <w:marLeft w:val="0"/>
      <w:marRight w:val="0"/>
      <w:marTop w:val="0"/>
      <w:marBottom w:val="0"/>
      <w:divBdr>
        <w:top w:val="none" w:sz="0" w:space="0" w:color="auto"/>
        <w:left w:val="none" w:sz="0" w:space="0" w:color="auto"/>
        <w:bottom w:val="none" w:sz="0" w:space="0" w:color="auto"/>
        <w:right w:val="none" w:sz="0" w:space="0" w:color="auto"/>
      </w:divBdr>
      <w:divsChild>
        <w:div w:id="1494026019">
          <w:marLeft w:val="0"/>
          <w:marRight w:val="0"/>
          <w:marTop w:val="0"/>
          <w:marBottom w:val="0"/>
          <w:divBdr>
            <w:top w:val="none" w:sz="0" w:space="0" w:color="auto"/>
            <w:left w:val="none" w:sz="0" w:space="0" w:color="auto"/>
            <w:bottom w:val="none" w:sz="0" w:space="0" w:color="auto"/>
            <w:right w:val="none" w:sz="0" w:space="0" w:color="auto"/>
          </w:divBdr>
        </w:div>
      </w:divsChild>
    </w:div>
    <w:div w:id="1612593922">
      <w:bodyDiv w:val="1"/>
      <w:marLeft w:val="0"/>
      <w:marRight w:val="0"/>
      <w:marTop w:val="0"/>
      <w:marBottom w:val="0"/>
      <w:divBdr>
        <w:top w:val="none" w:sz="0" w:space="0" w:color="auto"/>
        <w:left w:val="none" w:sz="0" w:space="0" w:color="auto"/>
        <w:bottom w:val="none" w:sz="0" w:space="0" w:color="auto"/>
        <w:right w:val="none" w:sz="0" w:space="0" w:color="auto"/>
      </w:divBdr>
    </w:div>
    <w:div w:id="1624772069">
      <w:bodyDiv w:val="1"/>
      <w:marLeft w:val="0"/>
      <w:marRight w:val="0"/>
      <w:marTop w:val="0"/>
      <w:marBottom w:val="0"/>
      <w:divBdr>
        <w:top w:val="none" w:sz="0" w:space="0" w:color="auto"/>
        <w:left w:val="none" w:sz="0" w:space="0" w:color="auto"/>
        <w:bottom w:val="none" w:sz="0" w:space="0" w:color="auto"/>
        <w:right w:val="none" w:sz="0" w:space="0" w:color="auto"/>
      </w:divBdr>
    </w:div>
    <w:div w:id="2142532603">
      <w:bodyDiv w:val="1"/>
      <w:marLeft w:val="0"/>
      <w:marRight w:val="0"/>
      <w:marTop w:val="0"/>
      <w:marBottom w:val="0"/>
      <w:divBdr>
        <w:top w:val="none" w:sz="0" w:space="0" w:color="auto"/>
        <w:left w:val="none" w:sz="0" w:space="0" w:color="auto"/>
        <w:bottom w:val="none" w:sz="0" w:space="0" w:color="auto"/>
        <w:right w:val="none" w:sz="0" w:space="0" w:color="auto"/>
      </w:divBdr>
      <w:divsChild>
        <w:div w:id="157018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fa.org/management/finance/news/newsid=197989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D2DDC-4ED1-4283-AC0C-C2A5AF60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5177</Words>
  <Characters>29510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simmonsr</dc:creator>
  <cp:lastModifiedBy>Damaris</cp:lastModifiedBy>
  <cp:revision>2</cp:revision>
  <cp:lastPrinted>2014-02-24T09:10:00Z</cp:lastPrinted>
  <dcterms:created xsi:type="dcterms:W3CDTF">2014-05-28T15:25:00Z</dcterms:created>
  <dcterms:modified xsi:type="dcterms:W3CDTF">2014-05-28T15:25:00Z</dcterms:modified>
</cp:coreProperties>
</file>